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80" w:rsidRPr="007B64A1" w:rsidRDefault="004C2780" w:rsidP="006F162F">
      <w:pPr>
        <w:rPr>
          <w:b/>
        </w:rPr>
      </w:pPr>
    </w:p>
    <w:p w:rsidR="007B64A1" w:rsidRPr="006D1F60" w:rsidRDefault="007B64A1" w:rsidP="001A5BA4">
      <w:pPr>
        <w:pStyle w:val="Heading1"/>
        <w:jc w:val="center"/>
        <w:rPr>
          <w:color w:val="005B38"/>
        </w:rPr>
      </w:pPr>
      <w:r w:rsidRPr="006D1F60">
        <w:rPr>
          <w:color w:val="005B38"/>
        </w:rPr>
        <w:t>FRAUD AND CORRUPTION CONTROL PLAN TEMPLATE</w:t>
      </w:r>
    </w:p>
    <w:p w:rsidR="007B64A1" w:rsidRPr="006D1F60" w:rsidRDefault="007B64A1" w:rsidP="000E6F99">
      <w:pPr>
        <w:pStyle w:val="Heading2"/>
        <w:numPr>
          <w:ilvl w:val="0"/>
          <w:numId w:val="5"/>
        </w:numPr>
        <w:rPr>
          <w:color w:val="005B38"/>
        </w:rPr>
      </w:pPr>
      <w:r w:rsidRPr="006D1F60">
        <w:rPr>
          <w:color w:val="005B38"/>
        </w:rPr>
        <w:t xml:space="preserve">Executive Summary </w:t>
      </w:r>
    </w:p>
    <w:p w:rsidR="007B64A1" w:rsidRPr="007B64A1" w:rsidRDefault="007B64A1" w:rsidP="007B64A1">
      <w:pPr>
        <w:pStyle w:val="ListParagraph"/>
        <w:numPr>
          <w:ilvl w:val="1"/>
          <w:numId w:val="2"/>
        </w:numPr>
        <w:rPr>
          <w:b/>
        </w:rPr>
      </w:pPr>
      <w:r w:rsidRPr="007B64A1">
        <w:rPr>
          <w:b/>
        </w:rPr>
        <w:t xml:space="preserve">Introduction </w:t>
      </w:r>
    </w:p>
    <w:p w:rsidR="007B64A1" w:rsidRDefault="007B64A1" w:rsidP="007B64A1">
      <w:pPr>
        <w:pStyle w:val="ListParagraph"/>
        <w:ind w:left="396"/>
      </w:pPr>
    </w:p>
    <w:p w:rsidR="007B64A1" w:rsidRPr="007B64A1" w:rsidRDefault="007B64A1" w:rsidP="007B64A1">
      <w:pPr>
        <w:pStyle w:val="ListParagraph"/>
        <w:numPr>
          <w:ilvl w:val="1"/>
          <w:numId w:val="2"/>
        </w:numPr>
        <w:rPr>
          <w:b/>
        </w:rPr>
      </w:pPr>
      <w:r w:rsidRPr="007B64A1">
        <w:rPr>
          <w:b/>
        </w:rPr>
        <w:t>Definition of Fraud</w:t>
      </w:r>
    </w:p>
    <w:p w:rsidR="007B64A1" w:rsidRDefault="007B64A1" w:rsidP="007B64A1">
      <w:pPr>
        <w:ind w:left="396"/>
        <w:rPr>
          <w:b/>
        </w:rPr>
      </w:pPr>
      <w:r>
        <w:t>Fraud is defined by Australian Standard AS8001-2008 as: “</w:t>
      </w:r>
      <w:r w:rsidRPr="003A184C">
        <w:rPr>
          <w:i/>
        </w:rPr>
        <w:t>Dishonest activity causing actual or potential financial loss to any person or entity including theft of moneys or other property by employees or persons external to the entity and where deception is used at the time, immediately before or immediately following the activity</w:t>
      </w:r>
      <w:r>
        <w:t>”.</w:t>
      </w:r>
    </w:p>
    <w:p w:rsidR="007B64A1" w:rsidRDefault="007B64A1" w:rsidP="007B64A1">
      <w:pPr>
        <w:ind w:left="396"/>
      </w:pPr>
      <w:r>
        <w:t xml:space="preserve">Fraud includes any practice that involves deceit or other dishonest means by which a benefit is obtained. The benefits may be obtained by: </w:t>
      </w:r>
    </w:p>
    <w:p w:rsidR="007B64A1" w:rsidRDefault="00D44653" w:rsidP="007B64A1">
      <w:pPr>
        <w:pStyle w:val="ListParagraph"/>
        <w:numPr>
          <w:ilvl w:val="0"/>
          <w:numId w:val="3"/>
        </w:numPr>
        <w:ind w:left="1116"/>
      </w:pPr>
      <w:r>
        <w:t>Staff M</w:t>
      </w:r>
      <w:r w:rsidR="007B64A1">
        <w:t>embers (known as ‘internal’ or ‘workplace’ fraud).</w:t>
      </w:r>
      <w:r w:rsidR="00AA5467">
        <w:t xml:space="preserve"> </w:t>
      </w:r>
      <w:r w:rsidR="007B64A1">
        <w:t xml:space="preserve"> </w:t>
      </w:r>
      <w:r w:rsidR="00934CD2">
        <w:t>Staff Member includes</w:t>
      </w:r>
      <w:r w:rsidR="00934CD2" w:rsidRPr="003D78DB">
        <w:t xml:space="preserve"> </w:t>
      </w:r>
      <w:r w:rsidR="00934CD2">
        <w:t xml:space="preserve">trainees, students, </w:t>
      </w:r>
      <w:proofErr w:type="gramStart"/>
      <w:r w:rsidR="00934CD2">
        <w:t>researchers</w:t>
      </w:r>
      <w:proofErr w:type="gramEnd"/>
      <w:r w:rsidR="00934CD2">
        <w:t xml:space="preserve"> participants in work experiences, contractors for services (including all visiting health professionals and agency staff), persons delivering training or education.</w:t>
      </w:r>
    </w:p>
    <w:p w:rsidR="007B64A1" w:rsidRDefault="007B64A1" w:rsidP="007B64A1">
      <w:pPr>
        <w:pStyle w:val="ListParagraph"/>
        <w:numPr>
          <w:ilvl w:val="0"/>
          <w:numId w:val="3"/>
        </w:numPr>
        <w:ind w:left="1116"/>
      </w:pPr>
      <w:r>
        <w:t xml:space="preserve">Persons external to the </w:t>
      </w:r>
      <w:r w:rsidR="00445521">
        <w:t>&lt;INSERT HSP NAME&gt;</w:t>
      </w:r>
      <w:r>
        <w:t xml:space="preserve">, either with or without assistance from departmental </w:t>
      </w:r>
      <w:r w:rsidR="00D44653">
        <w:t>S</w:t>
      </w:r>
      <w:r>
        <w:t xml:space="preserve">taff </w:t>
      </w:r>
      <w:r w:rsidR="00D44653">
        <w:t>M</w:t>
      </w:r>
      <w:r>
        <w:t xml:space="preserve">embers (known as ‘external’ or ‘customer’ or ‘client’ fraud). </w:t>
      </w:r>
    </w:p>
    <w:p w:rsidR="007B64A1" w:rsidRDefault="007B64A1" w:rsidP="007B64A1">
      <w:pPr>
        <w:ind w:left="396"/>
      </w:pPr>
      <w:r>
        <w:t>Fraud can take many forms, including (but not limited to):</w:t>
      </w:r>
    </w:p>
    <w:p w:rsidR="007B64A1" w:rsidRDefault="007B64A1" w:rsidP="007B64A1">
      <w:pPr>
        <w:pStyle w:val="ListParagraph"/>
        <w:numPr>
          <w:ilvl w:val="0"/>
          <w:numId w:val="3"/>
        </w:numPr>
        <w:ind w:left="1116"/>
      </w:pPr>
      <w:r>
        <w:t>theft or obtaining property, financial advantage or any other benefit by deception;</w:t>
      </w:r>
    </w:p>
    <w:p w:rsidR="007B64A1" w:rsidRDefault="007B64A1" w:rsidP="007B64A1">
      <w:pPr>
        <w:pStyle w:val="ListParagraph"/>
        <w:numPr>
          <w:ilvl w:val="0"/>
          <w:numId w:val="3"/>
        </w:numPr>
        <w:ind w:left="1116"/>
      </w:pPr>
      <w:r>
        <w:t>false timesheets, sick or annual leave claims</w:t>
      </w:r>
    </w:p>
    <w:p w:rsidR="007B64A1" w:rsidRDefault="007B64A1" w:rsidP="007B64A1">
      <w:pPr>
        <w:pStyle w:val="ListParagraph"/>
        <w:numPr>
          <w:ilvl w:val="0"/>
          <w:numId w:val="3"/>
        </w:numPr>
        <w:ind w:left="1116"/>
      </w:pPr>
      <w:r>
        <w:t xml:space="preserve">providing false or misleading information, or failing to provide information where there is an obligation to do so; </w:t>
      </w:r>
    </w:p>
    <w:p w:rsidR="007B64A1" w:rsidRDefault="007B64A1" w:rsidP="007B64A1">
      <w:pPr>
        <w:pStyle w:val="ListParagraph"/>
        <w:numPr>
          <w:ilvl w:val="0"/>
          <w:numId w:val="3"/>
        </w:numPr>
        <w:ind w:left="1116"/>
      </w:pPr>
      <w:r>
        <w:t xml:space="preserve">causing a loss, or avoiding or creating a liability by deception; </w:t>
      </w:r>
    </w:p>
    <w:p w:rsidR="007B64A1" w:rsidRDefault="007B64A1" w:rsidP="007B64A1">
      <w:pPr>
        <w:pStyle w:val="ListParagraph"/>
        <w:numPr>
          <w:ilvl w:val="0"/>
          <w:numId w:val="3"/>
        </w:numPr>
        <w:ind w:left="1116"/>
      </w:pPr>
      <w:r>
        <w:t xml:space="preserve">making, using or possessing forged or falsified documents; </w:t>
      </w:r>
    </w:p>
    <w:p w:rsidR="007B64A1" w:rsidRDefault="007B64A1" w:rsidP="007B64A1">
      <w:pPr>
        <w:pStyle w:val="ListParagraph"/>
        <w:numPr>
          <w:ilvl w:val="0"/>
          <w:numId w:val="3"/>
        </w:numPr>
        <w:ind w:left="1116"/>
      </w:pPr>
      <w:r>
        <w:t xml:space="preserve">unlawful use of computer systems, vehicles, telephones and other property or services; and </w:t>
      </w:r>
    </w:p>
    <w:p w:rsidR="007B64A1" w:rsidRPr="003A184C" w:rsidRDefault="007B64A1" w:rsidP="007B64A1">
      <w:pPr>
        <w:pStyle w:val="ListParagraph"/>
        <w:numPr>
          <w:ilvl w:val="0"/>
          <w:numId w:val="3"/>
        </w:numPr>
        <w:ind w:left="1116"/>
      </w:pPr>
      <w:proofErr w:type="gramStart"/>
      <w:r>
        <w:t>manipulating</w:t>
      </w:r>
      <w:proofErr w:type="gramEnd"/>
      <w:r>
        <w:t xml:space="preserve"> expenses or salaries.</w:t>
      </w:r>
    </w:p>
    <w:p w:rsidR="007B64A1" w:rsidRPr="003A184C" w:rsidRDefault="007B64A1" w:rsidP="007B64A1">
      <w:pPr>
        <w:ind w:left="396"/>
      </w:pPr>
      <w:r w:rsidRPr="003A184C">
        <w:lastRenderedPageBreak/>
        <w:t>Fraud is a serious criminal offence, punishable by a term of imprisonment and is defined with</w:t>
      </w:r>
      <w:r>
        <w:t>in</w:t>
      </w:r>
      <w:r w:rsidRPr="003A184C">
        <w:t xml:space="preserve"> section 409 of the </w:t>
      </w:r>
      <w:r w:rsidRPr="00DF0879">
        <w:rPr>
          <w:i/>
        </w:rPr>
        <w:t>Criminal Code</w:t>
      </w:r>
      <w:r w:rsidRPr="003A184C">
        <w:t xml:space="preserve"> of Western Australia.</w:t>
      </w:r>
    </w:p>
    <w:p w:rsidR="007B64A1" w:rsidRDefault="007B64A1" w:rsidP="007B64A1">
      <w:pPr>
        <w:pStyle w:val="ListParagraph"/>
        <w:ind w:left="396"/>
      </w:pPr>
    </w:p>
    <w:p w:rsidR="007B64A1" w:rsidRPr="007B64A1" w:rsidRDefault="007B64A1" w:rsidP="007B64A1">
      <w:pPr>
        <w:pStyle w:val="ListParagraph"/>
        <w:numPr>
          <w:ilvl w:val="1"/>
          <w:numId w:val="2"/>
        </w:numPr>
        <w:rPr>
          <w:b/>
        </w:rPr>
      </w:pPr>
      <w:r w:rsidRPr="007B64A1">
        <w:rPr>
          <w:b/>
        </w:rPr>
        <w:t xml:space="preserve">Definition of Corruption </w:t>
      </w:r>
    </w:p>
    <w:p w:rsidR="007B64A1" w:rsidRDefault="007B64A1" w:rsidP="007B64A1">
      <w:pPr>
        <w:ind w:left="396"/>
      </w:pPr>
      <w:r>
        <w:t>Corruption is defined by Australian Standard AS8001-2008 as: “</w:t>
      </w:r>
      <w:r w:rsidRPr="00DF0879">
        <w:rPr>
          <w:i/>
        </w:rPr>
        <w:t>Dishonest activity in which a director, executive, manager, employee or contractor of an entity acts contrary to the interests of the entity and abuses his/her position of trust in order to achieve some personal gain or advantage for him or herself or for another person or entity</w:t>
      </w:r>
      <w:r>
        <w:t xml:space="preserve">”. </w:t>
      </w:r>
    </w:p>
    <w:p w:rsidR="007B64A1" w:rsidRDefault="007B64A1" w:rsidP="007B64A1">
      <w:pPr>
        <w:ind w:left="396"/>
      </w:pPr>
      <w:r>
        <w:t>Corruption is any conduct that is improper, immoral or fraudulent and may include (but not limited to):</w:t>
      </w:r>
    </w:p>
    <w:p w:rsidR="007B64A1" w:rsidRDefault="007B64A1" w:rsidP="007B64A1">
      <w:pPr>
        <w:pStyle w:val="ListParagraph"/>
        <w:numPr>
          <w:ilvl w:val="0"/>
          <w:numId w:val="3"/>
        </w:numPr>
        <w:ind w:left="1116"/>
      </w:pPr>
      <w:r>
        <w:t>conflict of interest;</w:t>
      </w:r>
    </w:p>
    <w:p w:rsidR="007B64A1" w:rsidRDefault="007B64A1" w:rsidP="007B64A1">
      <w:pPr>
        <w:pStyle w:val="ListParagraph"/>
        <w:numPr>
          <w:ilvl w:val="0"/>
          <w:numId w:val="3"/>
        </w:numPr>
        <w:ind w:left="1116"/>
      </w:pPr>
      <w:r>
        <w:t>dishonestly using influence;</w:t>
      </w:r>
    </w:p>
    <w:p w:rsidR="007B64A1" w:rsidRDefault="007B64A1" w:rsidP="007B64A1">
      <w:pPr>
        <w:pStyle w:val="ListParagraph"/>
        <w:numPr>
          <w:ilvl w:val="0"/>
          <w:numId w:val="3"/>
        </w:numPr>
        <w:ind w:left="1116"/>
      </w:pPr>
      <w:r>
        <w:t>blackmail;</w:t>
      </w:r>
    </w:p>
    <w:p w:rsidR="007B64A1" w:rsidRDefault="007B64A1" w:rsidP="007B64A1">
      <w:pPr>
        <w:pStyle w:val="ListParagraph"/>
        <w:numPr>
          <w:ilvl w:val="0"/>
          <w:numId w:val="3"/>
        </w:numPr>
        <w:ind w:left="1116"/>
      </w:pPr>
      <w:r>
        <w:t>acceptance of gifts and hospitality;</w:t>
      </w:r>
    </w:p>
    <w:p w:rsidR="007B64A1" w:rsidRDefault="007B64A1" w:rsidP="007B64A1">
      <w:pPr>
        <w:pStyle w:val="ListParagraph"/>
        <w:numPr>
          <w:ilvl w:val="0"/>
          <w:numId w:val="3"/>
        </w:numPr>
        <w:ind w:left="1116"/>
      </w:pPr>
      <w:r>
        <w:t>acceptance of a bribe;</w:t>
      </w:r>
    </w:p>
    <w:p w:rsidR="007B64A1" w:rsidRDefault="007B64A1" w:rsidP="007B64A1">
      <w:pPr>
        <w:pStyle w:val="ListParagraph"/>
        <w:numPr>
          <w:ilvl w:val="0"/>
          <w:numId w:val="3"/>
        </w:numPr>
        <w:ind w:left="1116"/>
      </w:pPr>
      <w:r>
        <w:t>misuse of information systems, internet or email; and</w:t>
      </w:r>
    </w:p>
    <w:p w:rsidR="007B64A1" w:rsidRPr="003A184C" w:rsidRDefault="007B64A1" w:rsidP="007B64A1">
      <w:pPr>
        <w:pStyle w:val="ListParagraph"/>
        <w:numPr>
          <w:ilvl w:val="0"/>
          <w:numId w:val="3"/>
        </w:numPr>
        <w:ind w:left="1116"/>
      </w:pPr>
      <w:proofErr w:type="gramStart"/>
      <w:r>
        <w:t>un-authorised</w:t>
      </w:r>
      <w:proofErr w:type="gramEnd"/>
      <w:r>
        <w:t xml:space="preserve"> release of confidential, private information or intellectual property.</w:t>
      </w:r>
    </w:p>
    <w:p w:rsidR="007B64A1" w:rsidRPr="00DF0879" w:rsidRDefault="007B64A1" w:rsidP="007B64A1">
      <w:pPr>
        <w:spacing w:after="120"/>
        <w:ind w:left="397"/>
        <w:contextualSpacing/>
      </w:pPr>
      <w:r w:rsidRPr="00DF0879">
        <w:t xml:space="preserve">Corruption is a serious criminal offence, punishable by a term of imprisonment and is defined within </w:t>
      </w:r>
      <w:r>
        <w:t>C</w:t>
      </w:r>
      <w:r w:rsidRPr="00DF0879">
        <w:t xml:space="preserve">hapters XII and XIII of the </w:t>
      </w:r>
      <w:r w:rsidRPr="00DF0879">
        <w:rPr>
          <w:i/>
        </w:rPr>
        <w:t>Criminal Code</w:t>
      </w:r>
      <w:r w:rsidRPr="00DF0879">
        <w:t xml:space="preserve"> of Western Australia</w:t>
      </w:r>
      <w:r>
        <w:t>.</w:t>
      </w:r>
    </w:p>
    <w:p w:rsidR="007B64A1" w:rsidRDefault="007B64A1" w:rsidP="007B64A1">
      <w:pPr>
        <w:spacing w:after="0"/>
        <w:contextualSpacing/>
      </w:pPr>
    </w:p>
    <w:p w:rsidR="007B64A1" w:rsidRPr="00445521" w:rsidRDefault="007B64A1" w:rsidP="007B64A1">
      <w:pPr>
        <w:pStyle w:val="ListParagraph"/>
        <w:numPr>
          <w:ilvl w:val="1"/>
          <w:numId w:val="2"/>
        </w:numPr>
        <w:rPr>
          <w:b/>
        </w:rPr>
      </w:pPr>
      <w:r w:rsidRPr="00445521">
        <w:rPr>
          <w:b/>
        </w:rPr>
        <w:t xml:space="preserve">Statement of </w:t>
      </w:r>
      <w:r w:rsidR="00445521" w:rsidRPr="00445521">
        <w:rPr>
          <w:b/>
        </w:rPr>
        <w:t>&lt;INSERT HSP NAME&gt;</w:t>
      </w:r>
      <w:r w:rsidRPr="00445521">
        <w:rPr>
          <w:b/>
        </w:rPr>
        <w:t>’s attitude to fraud and corruption</w:t>
      </w:r>
    </w:p>
    <w:p w:rsidR="007B64A1" w:rsidRDefault="007B64A1" w:rsidP="00106C41">
      <w:pPr>
        <w:tabs>
          <w:tab w:val="left" w:pos="8080"/>
        </w:tabs>
        <w:ind w:left="396"/>
      </w:pPr>
      <w:r>
        <w:t xml:space="preserve">The </w:t>
      </w:r>
      <w:r w:rsidR="00445521">
        <w:t>&lt;INSERT HSP NAME&gt;</w:t>
      </w:r>
      <w:r>
        <w:t xml:space="preserve"> has a zero tolerance to fraud</w:t>
      </w:r>
      <w:r w:rsidR="00106C41">
        <w:t xml:space="preserve"> and</w:t>
      </w:r>
      <w:r>
        <w:t xml:space="preserve"> corruption.  F</w:t>
      </w:r>
      <w:r w:rsidRPr="001A238A">
        <w:t xml:space="preserve">raud and corruption </w:t>
      </w:r>
      <w:r>
        <w:t>are</w:t>
      </w:r>
      <w:r w:rsidRPr="001A238A">
        <w:t xml:space="preserve"> serious </w:t>
      </w:r>
      <w:r>
        <w:t xml:space="preserve">criminal </w:t>
      </w:r>
      <w:r w:rsidRPr="001A238A">
        <w:t>offences</w:t>
      </w:r>
      <w:r>
        <w:t xml:space="preserve"> and the </w:t>
      </w:r>
      <w:r w:rsidR="00445521">
        <w:t>&lt;INSERT HSP NAME&gt;</w:t>
      </w:r>
      <w:r>
        <w:t xml:space="preserve"> will treat them accordingly</w:t>
      </w:r>
      <w:r w:rsidRPr="001A238A">
        <w:t xml:space="preserve">. </w:t>
      </w:r>
    </w:p>
    <w:p w:rsidR="007B64A1" w:rsidRDefault="007B64A1" w:rsidP="007B64A1">
      <w:pPr>
        <w:ind w:left="396"/>
      </w:pPr>
      <w:r w:rsidRPr="001A238A">
        <w:t xml:space="preserve">The </w:t>
      </w:r>
      <w:r w:rsidR="00445521">
        <w:t>&lt;INSERT HSP NAME&gt;</w:t>
      </w:r>
      <w:r w:rsidRPr="00315279">
        <w:t xml:space="preserve"> </w:t>
      </w:r>
      <w:r w:rsidRPr="001A238A">
        <w:t xml:space="preserve">is committed to </w:t>
      </w:r>
      <w:r>
        <w:t>integrity</w:t>
      </w:r>
      <w:r w:rsidRPr="001A238A">
        <w:t xml:space="preserve"> and </w:t>
      </w:r>
      <w:r>
        <w:t xml:space="preserve">accountability through </w:t>
      </w:r>
      <w:r w:rsidRPr="001A238A">
        <w:t>the effective management of fraud and corruption risks.</w:t>
      </w:r>
    </w:p>
    <w:p w:rsidR="007B64A1" w:rsidRDefault="007B64A1" w:rsidP="007B64A1">
      <w:pPr>
        <w:ind w:left="396"/>
      </w:pPr>
      <w:r>
        <w:t xml:space="preserve">The </w:t>
      </w:r>
      <w:r w:rsidR="00445521">
        <w:t>&lt;INSERT HSP NAME&gt;</w:t>
      </w:r>
      <w:r>
        <w:t xml:space="preserve"> has a responsibility to ensure that all necessary measures are taken to ensure </w:t>
      </w:r>
      <w:r w:rsidR="00D44653">
        <w:t>S</w:t>
      </w:r>
      <w:r>
        <w:t xml:space="preserve">taff </w:t>
      </w:r>
      <w:r w:rsidR="00D44653">
        <w:t>M</w:t>
      </w:r>
      <w:r>
        <w:t>embers and contractors act ethically and with integrity and are held accountable for their actions.</w:t>
      </w:r>
    </w:p>
    <w:p w:rsidR="007B64A1" w:rsidRDefault="007B64A1" w:rsidP="007B64A1">
      <w:pPr>
        <w:spacing w:after="0"/>
        <w:ind w:left="397"/>
        <w:contextualSpacing/>
      </w:pPr>
      <w:r w:rsidRPr="005D2835">
        <w:lastRenderedPageBreak/>
        <w:t xml:space="preserve">All </w:t>
      </w:r>
      <w:r w:rsidR="00445521">
        <w:t>&lt;INSERT HSP NAME&gt;</w:t>
      </w:r>
      <w:r>
        <w:t xml:space="preserve"> </w:t>
      </w:r>
      <w:r w:rsidR="00D44653">
        <w:t>S</w:t>
      </w:r>
      <w:r>
        <w:t>taff</w:t>
      </w:r>
      <w:r w:rsidRPr="005D2835">
        <w:t xml:space="preserve"> </w:t>
      </w:r>
      <w:r w:rsidR="00D44653">
        <w:t>M</w:t>
      </w:r>
      <w:r>
        <w:t>embers are</w:t>
      </w:r>
      <w:r w:rsidRPr="005D2835">
        <w:t xml:space="preserve"> responsible </w:t>
      </w:r>
      <w:r>
        <w:t xml:space="preserve">for </w:t>
      </w:r>
      <w:r w:rsidRPr="005D2835">
        <w:t>assess</w:t>
      </w:r>
      <w:r>
        <w:t>ing</w:t>
      </w:r>
      <w:r w:rsidRPr="005D2835">
        <w:t xml:space="preserve"> the risk of fraud and corruption in their business area, identify and report suspected fraud or corruption, and promote a culture of integrity in the workplace.</w:t>
      </w:r>
    </w:p>
    <w:p w:rsidR="007B64A1" w:rsidRDefault="007B64A1" w:rsidP="007B64A1">
      <w:pPr>
        <w:pStyle w:val="ListParagraph"/>
        <w:ind w:left="396"/>
      </w:pPr>
    </w:p>
    <w:p w:rsidR="007B64A1" w:rsidRPr="00445521" w:rsidRDefault="007B64A1" w:rsidP="007B64A1">
      <w:pPr>
        <w:pStyle w:val="ListParagraph"/>
        <w:numPr>
          <w:ilvl w:val="1"/>
          <w:numId w:val="2"/>
        </w:numPr>
        <w:rPr>
          <w:b/>
        </w:rPr>
      </w:pPr>
      <w:r w:rsidRPr="00445521">
        <w:rPr>
          <w:b/>
        </w:rPr>
        <w:t>Code of Conduct</w:t>
      </w:r>
    </w:p>
    <w:p w:rsidR="007B64A1" w:rsidRPr="00FE3C8B" w:rsidRDefault="00D44653" w:rsidP="007B64A1">
      <w:pPr>
        <w:pStyle w:val="ListParagraph"/>
        <w:ind w:left="396"/>
        <w:rPr>
          <w:color w:val="A6A6A6" w:themeColor="background1" w:themeShade="A6"/>
        </w:rPr>
      </w:pPr>
      <w:r>
        <w:rPr>
          <w:color w:val="A6A6A6" w:themeColor="background1" w:themeShade="A6"/>
        </w:rPr>
        <w:t>State how the HSP</w:t>
      </w:r>
      <w:r w:rsidR="00FE3C8B">
        <w:rPr>
          <w:color w:val="A6A6A6" w:themeColor="background1" w:themeShade="A6"/>
        </w:rPr>
        <w:t xml:space="preserve"> implements </w:t>
      </w:r>
      <w:r>
        <w:rPr>
          <w:color w:val="A6A6A6" w:themeColor="background1" w:themeShade="A6"/>
        </w:rPr>
        <w:t xml:space="preserve">and </w:t>
      </w:r>
      <w:r w:rsidR="00FE3C8B">
        <w:rPr>
          <w:color w:val="A6A6A6" w:themeColor="background1" w:themeShade="A6"/>
        </w:rPr>
        <w:t xml:space="preserve">promotes </w:t>
      </w:r>
      <w:r>
        <w:rPr>
          <w:color w:val="A6A6A6" w:themeColor="background1" w:themeShade="A6"/>
        </w:rPr>
        <w:t xml:space="preserve">the WA Health </w:t>
      </w:r>
      <w:r w:rsidR="009F4BD7">
        <w:rPr>
          <w:color w:val="A6A6A6" w:themeColor="background1" w:themeShade="A6"/>
        </w:rPr>
        <w:t xml:space="preserve">System </w:t>
      </w:r>
      <w:r w:rsidR="00FE3C8B">
        <w:rPr>
          <w:color w:val="A6A6A6" w:themeColor="background1" w:themeShade="A6"/>
        </w:rPr>
        <w:t xml:space="preserve">Code of Conduct </w:t>
      </w:r>
    </w:p>
    <w:p w:rsidR="007B64A1" w:rsidRPr="00445521" w:rsidRDefault="007B64A1" w:rsidP="007B64A1">
      <w:pPr>
        <w:pStyle w:val="ListParagraph"/>
        <w:numPr>
          <w:ilvl w:val="1"/>
          <w:numId w:val="2"/>
        </w:numPr>
        <w:rPr>
          <w:b/>
        </w:rPr>
      </w:pPr>
      <w:r w:rsidRPr="00445521">
        <w:rPr>
          <w:b/>
        </w:rPr>
        <w:t xml:space="preserve">Relationship with the </w:t>
      </w:r>
      <w:r w:rsidR="00445521" w:rsidRPr="00445521">
        <w:rPr>
          <w:b/>
        </w:rPr>
        <w:t>&lt;INSERT HSP NAME&gt;</w:t>
      </w:r>
      <w:r w:rsidRPr="00445521">
        <w:rPr>
          <w:b/>
        </w:rPr>
        <w:t>’s other plans</w:t>
      </w:r>
    </w:p>
    <w:p w:rsidR="007B64A1" w:rsidRPr="007F0164" w:rsidRDefault="00D44653" w:rsidP="00106C41">
      <w:pPr>
        <w:pStyle w:val="ListParagraph"/>
        <w:tabs>
          <w:tab w:val="left" w:pos="7371"/>
        </w:tabs>
        <w:spacing w:after="0"/>
        <w:ind w:left="397"/>
        <w:rPr>
          <w:color w:val="A6A6A6" w:themeColor="background1" w:themeShade="A6"/>
        </w:rPr>
      </w:pPr>
      <w:r>
        <w:rPr>
          <w:color w:val="A6A6A6" w:themeColor="background1" w:themeShade="A6"/>
        </w:rPr>
        <w:t>For example: F</w:t>
      </w:r>
      <w:r w:rsidR="007B64A1" w:rsidRPr="007F0164">
        <w:rPr>
          <w:color w:val="A6A6A6" w:themeColor="background1" w:themeShade="A6"/>
        </w:rPr>
        <w:t xml:space="preserve">inancial </w:t>
      </w:r>
      <w:r>
        <w:rPr>
          <w:color w:val="A6A6A6" w:themeColor="background1" w:themeShade="A6"/>
        </w:rPr>
        <w:t>M</w:t>
      </w:r>
      <w:r w:rsidR="007B64A1" w:rsidRPr="007F0164">
        <w:rPr>
          <w:color w:val="A6A6A6" w:themeColor="background1" w:themeShade="A6"/>
        </w:rPr>
        <w:t xml:space="preserve">anagement, </w:t>
      </w:r>
      <w:r>
        <w:rPr>
          <w:color w:val="A6A6A6" w:themeColor="background1" w:themeShade="A6"/>
        </w:rPr>
        <w:t>A</w:t>
      </w:r>
      <w:r w:rsidR="007B64A1" w:rsidRPr="007F0164">
        <w:rPr>
          <w:color w:val="A6A6A6" w:themeColor="background1" w:themeShade="A6"/>
        </w:rPr>
        <w:t xml:space="preserve">udit and </w:t>
      </w:r>
      <w:r>
        <w:rPr>
          <w:color w:val="A6A6A6" w:themeColor="background1" w:themeShade="A6"/>
        </w:rPr>
        <w:t>R</w:t>
      </w:r>
      <w:r w:rsidR="007B64A1" w:rsidRPr="007F0164">
        <w:rPr>
          <w:color w:val="A6A6A6" w:themeColor="background1" w:themeShade="A6"/>
        </w:rPr>
        <w:t>isk, Integrity and Ethical Governance Framework</w:t>
      </w:r>
    </w:p>
    <w:p w:rsidR="007B64A1" w:rsidRPr="007F0164" w:rsidRDefault="007B64A1" w:rsidP="00106C41">
      <w:pPr>
        <w:pStyle w:val="ListParagraph"/>
        <w:tabs>
          <w:tab w:val="left" w:pos="7371"/>
        </w:tabs>
        <w:ind w:left="396"/>
        <w:rPr>
          <w:color w:val="A6A6A6" w:themeColor="background1" w:themeShade="A6"/>
        </w:rPr>
      </w:pPr>
    </w:p>
    <w:p w:rsidR="007B64A1" w:rsidRPr="00445521" w:rsidRDefault="007B64A1" w:rsidP="007B64A1">
      <w:pPr>
        <w:pStyle w:val="ListParagraph"/>
        <w:numPr>
          <w:ilvl w:val="1"/>
          <w:numId w:val="2"/>
        </w:numPr>
        <w:rPr>
          <w:b/>
        </w:rPr>
      </w:pPr>
      <w:r w:rsidRPr="00445521">
        <w:rPr>
          <w:b/>
        </w:rPr>
        <w:t xml:space="preserve">Roles and accountabilities for fraud control </w:t>
      </w:r>
    </w:p>
    <w:tbl>
      <w:tblPr>
        <w:tblStyle w:val="TableGrid"/>
        <w:tblW w:w="0" w:type="auto"/>
        <w:tblLook w:val="06A0" w:firstRow="1" w:lastRow="0" w:firstColumn="1" w:lastColumn="0" w:noHBand="1" w:noVBand="1"/>
      </w:tblPr>
      <w:tblGrid>
        <w:gridCol w:w="6929"/>
        <w:gridCol w:w="6929"/>
      </w:tblGrid>
      <w:tr w:rsidR="000E7722" w:rsidTr="005B1517">
        <w:trPr>
          <w:tblHeader/>
        </w:trPr>
        <w:tc>
          <w:tcPr>
            <w:tcW w:w="6929" w:type="dxa"/>
          </w:tcPr>
          <w:p w:rsidR="000E7722" w:rsidRDefault="000E7722" w:rsidP="00627242">
            <w:pPr>
              <w:pStyle w:val="ListParagraph"/>
              <w:ind w:left="396"/>
            </w:pPr>
            <w:bookmarkStart w:id="0" w:name="_Toc527708658"/>
          </w:p>
        </w:tc>
        <w:tc>
          <w:tcPr>
            <w:tcW w:w="6929" w:type="dxa"/>
          </w:tcPr>
          <w:p w:rsidR="000E7722" w:rsidRDefault="000E7722" w:rsidP="000E7722">
            <w:r>
              <w:t>Examples</w:t>
            </w:r>
          </w:p>
        </w:tc>
      </w:tr>
      <w:tr w:rsidR="000E7722" w:rsidTr="005B1517">
        <w:tc>
          <w:tcPr>
            <w:tcW w:w="6929" w:type="dxa"/>
          </w:tcPr>
          <w:p w:rsidR="000E7722" w:rsidRPr="007F0164" w:rsidRDefault="00197A76" w:rsidP="007F0164">
            <w:pPr>
              <w:rPr>
                <w:u w:val="single"/>
              </w:rPr>
            </w:pPr>
            <w:r>
              <w:rPr>
                <w:u w:val="single"/>
              </w:rPr>
              <w:t>Governing Body</w:t>
            </w:r>
          </w:p>
          <w:p w:rsidR="000E7722" w:rsidRPr="007F0164" w:rsidRDefault="000E7722" w:rsidP="009C5FA2">
            <w:pPr>
              <w:pStyle w:val="ListParagraph"/>
              <w:numPr>
                <w:ilvl w:val="0"/>
                <w:numId w:val="6"/>
              </w:numPr>
              <w:spacing w:after="0"/>
              <w:ind w:left="357" w:hanging="357"/>
            </w:pPr>
            <w:r>
              <w:t>Confirm and monitors the implementation and application of fraud and corruption controls</w:t>
            </w:r>
            <w:r>
              <w:rPr>
                <w:rFonts w:eastAsia="Calibri" w:cs="Times New Roman"/>
              </w:rPr>
              <w:t>.</w:t>
            </w:r>
          </w:p>
          <w:p w:rsidR="000E7722" w:rsidRPr="007B64A1" w:rsidRDefault="000E7722" w:rsidP="009C5FA2">
            <w:pPr>
              <w:numPr>
                <w:ilvl w:val="0"/>
                <w:numId w:val="6"/>
              </w:numPr>
              <w:spacing w:after="0"/>
              <w:ind w:left="357" w:hanging="357"/>
              <w:contextualSpacing/>
              <w:rPr>
                <w:rFonts w:eastAsia="Calibri" w:cs="Times New Roman"/>
              </w:rPr>
            </w:pPr>
            <w:r w:rsidRPr="007B64A1">
              <w:rPr>
                <w:rFonts w:eastAsia="Calibri" w:cs="Times New Roman"/>
              </w:rPr>
              <w:t xml:space="preserve">Maintain, model and foster the highest standards of ethical behaviour that reflect the WA Health </w:t>
            </w:r>
            <w:r w:rsidR="009F4BD7">
              <w:rPr>
                <w:rFonts w:eastAsia="Calibri" w:cs="Times New Roman"/>
              </w:rPr>
              <w:t xml:space="preserve">System </w:t>
            </w:r>
            <w:r w:rsidRPr="007B64A1">
              <w:rPr>
                <w:rFonts w:eastAsia="Calibri" w:cs="Times New Roman"/>
              </w:rPr>
              <w:t>Code of Conduct.</w:t>
            </w:r>
          </w:p>
          <w:p w:rsidR="000E7722" w:rsidRDefault="000E7722" w:rsidP="009F4BD7">
            <w:pPr>
              <w:pStyle w:val="ListParagraph"/>
              <w:numPr>
                <w:ilvl w:val="0"/>
                <w:numId w:val="6"/>
              </w:numPr>
            </w:pPr>
            <w:r w:rsidRPr="007B64A1">
              <w:rPr>
                <w:rFonts w:eastAsia="Calibri" w:cs="Times New Roman"/>
              </w:rPr>
              <w:t xml:space="preserve">Support </w:t>
            </w:r>
            <w:r w:rsidR="00D44653">
              <w:rPr>
                <w:rFonts w:eastAsia="Calibri" w:cs="Times New Roman"/>
              </w:rPr>
              <w:t>S</w:t>
            </w:r>
            <w:r w:rsidRPr="007B64A1">
              <w:rPr>
                <w:rFonts w:eastAsia="Calibri" w:cs="Times New Roman"/>
              </w:rPr>
              <w:t xml:space="preserve">taff </w:t>
            </w:r>
            <w:proofErr w:type="gramStart"/>
            <w:r w:rsidR="00D44653">
              <w:rPr>
                <w:rFonts w:eastAsia="Calibri" w:cs="Times New Roman"/>
              </w:rPr>
              <w:t xml:space="preserve">Member’s </w:t>
            </w:r>
            <w:r w:rsidRPr="007B64A1">
              <w:rPr>
                <w:rFonts w:eastAsia="Calibri" w:cs="Times New Roman"/>
              </w:rPr>
              <w:t>understanding</w:t>
            </w:r>
            <w:proofErr w:type="gramEnd"/>
            <w:r w:rsidRPr="007B64A1">
              <w:rPr>
                <w:rFonts w:eastAsia="Calibri" w:cs="Times New Roman"/>
              </w:rPr>
              <w:t xml:space="preserve"> and </w:t>
            </w:r>
            <w:r w:rsidR="009F4BD7" w:rsidRPr="007B64A1">
              <w:rPr>
                <w:rFonts w:eastAsia="Calibri" w:cs="Times New Roman"/>
              </w:rPr>
              <w:t>compl</w:t>
            </w:r>
            <w:r w:rsidR="009F4BD7">
              <w:rPr>
                <w:rFonts w:eastAsia="Calibri" w:cs="Times New Roman"/>
              </w:rPr>
              <w:t>iance</w:t>
            </w:r>
            <w:r w:rsidR="009F4BD7" w:rsidRPr="007B64A1">
              <w:rPr>
                <w:rFonts w:eastAsia="Calibri" w:cs="Times New Roman"/>
              </w:rPr>
              <w:t xml:space="preserve"> </w:t>
            </w:r>
            <w:r w:rsidRPr="007B64A1">
              <w:rPr>
                <w:rFonts w:eastAsia="Calibri" w:cs="Times New Roman"/>
              </w:rPr>
              <w:t>with this framework.</w:t>
            </w:r>
          </w:p>
        </w:tc>
        <w:tc>
          <w:tcPr>
            <w:tcW w:w="6929" w:type="dxa"/>
          </w:tcPr>
          <w:p w:rsidR="000E7722" w:rsidRDefault="000E7722" w:rsidP="00627242"/>
        </w:tc>
      </w:tr>
      <w:tr w:rsidR="000E7722" w:rsidTr="005B1517">
        <w:tc>
          <w:tcPr>
            <w:tcW w:w="6929" w:type="dxa"/>
          </w:tcPr>
          <w:p w:rsidR="000E7722" w:rsidRPr="007B64A1" w:rsidRDefault="000E7722" w:rsidP="007F0164">
            <w:pPr>
              <w:spacing w:after="120"/>
              <w:contextualSpacing/>
              <w:rPr>
                <w:rFonts w:eastAsia="Calibri" w:cs="Times New Roman"/>
                <w:u w:val="single"/>
              </w:rPr>
            </w:pPr>
            <w:bookmarkStart w:id="1" w:name="_Toc527708659"/>
            <w:r w:rsidRPr="007B64A1">
              <w:rPr>
                <w:rFonts w:eastAsia="Calibri" w:cs="Times New Roman"/>
                <w:u w:val="single"/>
              </w:rPr>
              <w:t>Chief Executives</w:t>
            </w:r>
            <w:bookmarkEnd w:id="1"/>
            <w:r w:rsidRPr="007B64A1">
              <w:rPr>
                <w:rFonts w:eastAsia="Calibri" w:cs="Times New Roman"/>
                <w:u w:val="single"/>
              </w:rPr>
              <w:t xml:space="preserve"> </w:t>
            </w:r>
          </w:p>
          <w:p w:rsidR="000E7722" w:rsidRPr="00191739" w:rsidRDefault="000E7722" w:rsidP="00191739">
            <w:pPr>
              <w:spacing w:after="120"/>
              <w:rPr>
                <w:rFonts w:eastAsia="Calibri" w:cs="Times New Roman"/>
              </w:rPr>
            </w:pPr>
            <w:r w:rsidRPr="00191739">
              <w:rPr>
                <w:rFonts w:eastAsia="Calibri" w:cs="Times New Roman"/>
              </w:rPr>
              <w:t xml:space="preserve">Chief Executives have responsibility for the effective and economical use of the &lt;INSERT HSP NAME&gt; resources and for determining appropriate controls in </w:t>
            </w:r>
            <w:r w:rsidR="009F4BD7">
              <w:rPr>
                <w:rFonts w:eastAsia="Calibri" w:cs="Times New Roman"/>
              </w:rPr>
              <w:t>m</w:t>
            </w:r>
            <w:r w:rsidRPr="00191739">
              <w:rPr>
                <w:rFonts w:eastAsia="Calibri" w:cs="Times New Roman"/>
              </w:rPr>
              <w:t xml:space="preserve">anaging fraud and corruption risks. </w:t>
            </w:r>
          </w:p>
        </w:tc>
        <w:tc>
          <w:tcPr>
            <w:tcW w:w="6929" w:type="dxa"/>
          </w:tcPr>
          <w:p w:rsidR="000E7722" w:rsidRDefault="000E7722" w:rsidP="009C5FA2">
            <w:pPr>
              <w:spacing w:after="0"/>
              <w:rPr>
                <w:color w:val="A6A6A6" w:themeColor="background1" w:themeShade="A6"/>
              </w:rPr>
            </w:pPr>
            <w:r>
              <w:rPr>
                <w:color w:val="A6A6A6" w:themeColor="background1" w:themeShade="A6"/>
              </w:rPr>
              <w:t xml:space="preserve">Demonstrate compliance with </w:t>
            </w:r>
            <w:r w:rsidRPr="00106C41">
              <w:rPr>
                <w:i/>
                <w:color w:val="A6A6A6" w:themeColor="background1" w:themeShade="A6"/>
              </w:rPr>
              <w:t>Public Interest Disclosure Act 2003</w:t>
            </w:r>
            <w:r>
              <w:rPr>
                <w:color w:val="A6A6A6" w:themeColor="background1" w:themeShade="A6"/>
              </w:rPr>
              <w:t xml:space="preserve"> </w:t>
            </w:r>
            <w:r w:rsidR="009F4BD7">
              <w:rPr>
                <w:color w:val="A6A6A6" w:themeColor="background1" w:themeShade="A6"/>
              </w:rPr>
              <w:t>(PID Act) e.g.</w:t>
            </w:r>
            <w:r>
              <w:rPr>
                <w:color w:val="A6A6A6" w:themeColor="background1" w:themeShade="A6"/>
              </w:rPr>
              <w:t xml:space="preserve"> </w:t>
            </w:r>
          </w:p>
          <w:p w:rsidR="000E7722" w:rsidRPr="00754BD3" w:rsidRDefault="000E7722" w:rsidP="00754BD3">
            <w:pPr>
              <w:pStyle w:val="ListParagraph"/>
              <w:numPr>
                <w:ilvl w:val="0"/>
                <w:numId w:val="9"/>
              </w:numPr>
              <w:spacing w:after="120"/>
              <w:ind w:left="720"/>
              <w:rPr>
                <w:rFonts w:eastAsia="Calibri" w:cs="Times New Roman"/>
              </w:rPr>
            </w:pPr>
            <w:r w:rsidRPr="00754BD3">
              <w:rPr>
                <w:color w:val="A6A6A6" w:themeColor="background1" w:themeShade="A6"/>
              </w:rPr>
              <w:t>number of trained, designated and registered PID officers</w:t>
            </w:r>
          </w:p>
          <w:p w:rsidR="000E7722" w:rsidRPr="00754BD3" w:rsidRDefault="000E7722" w:rsidP="00754BD3">
            <w:pPr>
              <w:pStyle w:val="ListParagraph"/>
              <w:numPr>
                <w:ilvl w:val="0"/>
                <w:numId w:val="9"/>
              </w:numPr>
              <w:spacing w:after="120"/>
              <w:ind w:left="720"/>
              <w:rPr>
                <w:rFonts w:eastAsia="Calibri" w:cs="Times New Roman"/>
              </w:rPr>
            </w:pPr>
            <w:r>
              <w:rPr>
                <w:color w:val="A6A6A6" w:themeColor="background1" w:themeShade="A6"/>
              </w:rPr>
              <w:t>number of PID investigations by PID Officers</w:t>
            </w:r>
          </w:p>
          <w:p w:rsidR="000E7722" w:rsidRPr="007B64A1" w:rsidRDefault="000E7722" w:rsidP="00754BD3">
            <w:pPr>
              <w:pStyle w:val="ListParagraph"/>
              <w:numPr>
                <w:ilvl w:val="0"/>
                <w:numId w:val="9"/>
              </w:numPr>
              <w:spacing w:after="120"/>
              <w:ind w:left="720"/>
              <w:rPr>
                <w:color w:val="A6A6A6" w:themeColor="background1" w:themeShade="A6"/>
              </w:rPr>
            </w:pPr>
            <w:r w:rsidRPr="007B64A1">
              <w:rPr>
                <w:color w:val="A6A6A6" w:themeColor="background1" w:themeShade="A6"/>
              </w:rPr>
              <w:t>Chief Executive’s must ensure that P</w:t>
            </w:r>
            <w:r>
              <w:rPr>
                <w:color w:val="A6A6A6" w:themeColor="background1" w:themeShade="A6"/>
              </w:rPr>
              <w:t>ID</w:t>
            </w:r>
            <w:r w:rsidRPr="007B64A1">
              <w:rPr>
                <w:color w:val="A6A6A6" w:themeColor="background1" w:themeShade="A6"/>
              </w:rPr>
              <w:t xml:space="preserve"> Procedures, are in place in accordance with section</w:t>
            </w:r>
            <w:r w:rsidR="009F4BD7">
              <w:rPr>
                <w:color w:val="A6A6A6" w:themeColor="background1" w:themeShade="A6"/>
              </w:rPr>
              <w:t>s</w:t>
            </w:r>
            <w:r w:rsidRPr="007B64A1">
              <w:rPr>
                <w:color w:val="A6A6A6" w:themeColor="background1" w:themeShade="A6"/>
              </w:rPr>
              <w:t xml:space="preserve"> 23(1</w:t>
            </w:r>
            <w:proofErr w:type="gramStart"/>
            <w:r w:rsidRPr="007B64A1">
              <w:rPr>
                <w:color w:val="A6A6A6" w:themeColor="background1" w:themeShade="A6"/>
              </w:rPr>
              <w:t>)(</w:t>
            </w:r>
            <w:proofErr w:type="gramEnd"/>
            <w:r w:rsidRPr="007B64A1">
              <w:rPr>
                <w:color w:val="A6A6A6" w:themeColor="background1" w:themeShade="A6"/>
              </w:rPr>
              <w:t>e) and 23(2) of the PID Act.</w:t>
            </w:r>
          </w:p>
          <w:p w:rsidR="000E7722" w:rsidRDefault="000E7722" w:rsidP="00754BD3">
            <w:pPr>
              <w:spacing w:after="120"/>
              <w:rPr>
                <w:color w:val="A6A6A6" w:themeColor="background1" w:themeShade="A6"/>
              </w:rPr>
            </w:pPr>
            <w:r>
              <w:rPr>
                <w:color w:val="A6A6A6" w:themeColor="background1" w:themeShade="A6"/>
              </w:rPr>
              <w:t xml:space="preserve">Executive sponsor for Fraud and Corruption Control </w:t>
            </w:r>
          </w:p>
          <w:p w:rsidR="000E7722" w:rsidRDefault="000E7722" w:rsidP="00754BD3">
            <w:pPr>
              <w:spacing w:after="120"/>
              <w:rPr>
                <w:rFonts w:eastAsia="Calibri" w:cs="Times New Roman"/>
                <w:color w:val="A6A6A6" w:themeColor="background1" w:themeShade="A6"/>
              </w:rPr>
            </w:pPr>
            <w:r>
              <w:rPr>
                <w:color w:val="A6A6A6" w:themeColor="background1" w:themeShade="A6"/>
              </w:rPr>
              <w:t xml:space="preserve">Fraud and Corruption Controls </w:t>
            </w:r>
            <w:r w:rsidRPr="007B64A1">
              <w:rPr>
                <w:rFonts w:eastAsia="Calibri" w:cs="Times New Roman"/>
                <w:color w:val="A6A6A6" w:themeColor="background1" w:themeShade="A6"/>
              </w:rPr>
              <w:t xml:space="preserve">effectively integrated into the </w:t>
            </w:r>
            <w:r w:rsidRPr="00754BD3">
              <w:rPr>
                <w:rFonts w:eastAsia="Calibri" w:cs="Times New Roman"/>
                <w:color w:val="A6A6A6" w:themeColor="background1" w:themeShade="A6"/>
              </w:rPr>
              <w:t>&lt;INSERT HSP NAME&gt;</w:t>
            </w:r>
            <w:r w:rsidRPr="007B64A1">
              <w:rPr>
                <w:rFonts w:eastAsia="Calibri" w:cs="Times New Roman"/>
                <w:color w:val="A6A6A6" w:themeColor="background1" w:themeShade="A6"/>
              </w:rPr>
              <w:t xml:space="preserve">’s strategic planning, corporate </w:t>
            </w:r>
            <w:r w:rsidRPr="007B64A1">
              <w:rPr>
                <w:rFonts w:eastAsia="Calibri" w:cs="Times New Roman"/>
                <w:color w:val="A6A6A6" w:themeColor="background1" w:themeShade="A6"/>
              </w:rPr>
              <w:lastRenderedPageBreak/>
              <w:t xml:space="preserve">governance and operational systems. </w:t>
            </w:r>
          </w:p>
          <w:p w:rsidR="000E7722" w:rsidRDefault="000E7722" w:rsidP="00754BD3">
            <w:pPr>
              <w:spacing w:after="120"/>
              <w:rPr>
                <w:rFonts w:eastAsia="Calibri" w:cs="Times New Roman"/>
                <w:color w:val="A6A6A6" w:themeColor="background1" w:themeShade="A6"/>
              </w:rPr>
            </w:pPr>
            <w:r>
              <w:rPr>
                <w:rFonts w:eastAsia="Calibri" w:cs="Times New Roman"/>
                <w:color w:val="A6A6A6" w:themeColor="background1" w:themeShade="A6"/>
              </w:rPr>
              <w:t>Implementation of the Fraud and Corruption Control Plan</w:t>
            </w:r>
          </w:p>
          <w:p w:rsidR="000E7722" w:rsidRPr="00754BD3" w:rsidRDefault="000E7722" w:rsidP="00754BD3">
            <w:pPr>
              <w:spacing w:after="120"/>
              <w:rPr>
                <w:rFonts w:eastAsia="Calibri" w:cs="Times New Roman"/>
                <w:color w:val="A6A6A6" w:themeColor="background1" w:themeShade="A6"/>
              </w:rPr>
            </w:pPr>
            <w:r>
              <w:rPr>
                <w:rFonts w:eastAsia="Calibri" w:cs="Times New Roman"/>
                <w:color w:val="A6A6A6" w:themeColor="background1" w:themeShade="A6"/>
              </w:rPr>
              <w:t xml:space="preserve">Establish and maintain Internal Audit function </w:t>
            </w:r>
          </w:p>
        </w:tc>
      </w:tr>
      <w:tr w:rsidR="000E7722" w:rsidTr="005B1517">
        <w:tc>
          <w:tcPr>
            <w:tcW w:w="6929" w:type="dxa"/>
          </w:tcPr>
          <w:p w:rsidR="000E7722" w:rsidRPr="007B64A1" w:rsidRDefault="000E7722" w:rsidP="00191739">
            <w:pPr>
              <w:spacing w:after="120"/>
              <w:contextualSpacing/>
              <w:rPr>
                <w:rFonts w:eastAsia="Calibri" w:cs="Times New Roman"/>
                <w:u w:val="single"/>
              </w:rPr>
            </w:pPr>
            <w:bookmarkStart w:id="2" w:name="_Toc527708660"/>
            <w:r w:rsidRPr="007B64A1">
              <w:rPr>
                <w:rFonts w:eastAsia="Calibri" w:cs="Times New Roman"/>
                <w:u w:val="single"/>
              </w:rPr>
              <w:lastRenderedPageBreak/>
              <w:t>Executives, Senior Managers and Line Managers</w:t>
            </w:r>
            <w:bookmarkEnd w:id="2"/>
            <w:r w:rsidRPr="007B64A1">
              <w:rPr>
                <w:rFonts w:eastAsia="Calibri" w:cs="Times New Roman"/>
                <w:u w:val="single"/>
              </w:rPr>
              <w:t xml:space="preserve"> </w:t>
            </w:r>
          </w:p>
          <w:p w:rsidR="000E7722" w:rsidRPr="007B64A1" w:rsidRDefault="000E7722" w:rsidP="00191739">
            <w:pPr>
              <w:spacing w:after="120"/>
              <w:rPr>
                <w:rFonts w:eastAsia="Calibri" w:cs="Times New Roman"/>
              </w:rPr>
            </w:pPr>
            <w:r>
              <w:rPr>
                <w:rFonts w:eastAsia="Calibri" w:cs="Times New Roman"/>
              </w:rPr>
              <w:t>R</w:t>
            </w:r>
            <w:r w:rsidRPr="007B64A1">
              <w:rPr>
                <w:rFonts w:eastAsia="Calibri" w:cs="Times New Roman"/>
              </w:rPr>
              <w:t xml:space="preserve">esponsible for ensuring that </w:t>
            </w:r>
            <w:r w:rsidR="009F4BD7">
              <w:rPr>
                <w:rFonts w:eastAsia="Calibri" w:cs="Times New Roman"/>
              </w:rPr>
              <w:t xml:space="preserve">the </w:t>
            </w:r>
            <w:r w:rsidRPr="007B64A1">
              <w:rPr>
                <w:rFonts w:eastAsia="Calibri" w:cs="Times New Roman"/>
              </w:rPr>
              <w:t>Fraud and Corruption Control Plan is effectively implemented within their business units, in particular they must:</w:t>
            </w:r>
          </w:p>
          <w:p w:rsidR="000E7722" w:rsidRPr="007B64A1" w:rsidRDefault="000E7722" w:rsidP="00191739">
            <w:pPr>
              <w:numPr>
                <w:ilvl w:val="0"/>
                <w:numId w:val="3"/>
              </w:numPr>
              <w:spacing w:after="120"/>
              <w:ind w:left="426" w:hanging="284"/>
              <w:contextualSpacing/>
              <w:rPr>
                <w:rFonts w:eastAsia="Calibri" w:cs="Times New Roman"/>
              </w:rPr>
            </w:pPr>
            <w:r w:rsidRPr="007B64A1">
              <w:rPr>
                <w:rFonts w:eastAsia="Calibri" w:cs="Times New Roman"/>
              </w:rPr>
              <w:t xml:space="preserve">provide leadership, guidance and support </w:t>
            </w:r>
            <w:r w:rsidR="009F4BD7">
              <w:rPr>
                <w:rFonts w:eastAsia="Calibri" w:cs="Times New Roman"/>
              </w:rPr>
              <w:t>for all</w:t>
            </w:r>
            <w:r w:rsidR="009F4BD7" w:rsidRPr="007B64A1">
              <w:rPr>
                <w:rFonts w:eastAsia="Calibri" w:cs="Times New Roman"/>
              </w:rPr>
              <w:t xml:space="preserve"> </w:t>
            </w:r>
            <w:r w:rsidR="009F4BD7">
              <w:rPr>
                <w:rFonts w:eastAsia="Calibri" w:cs="Times New Roman"/>
              </w:rPr>
              <w:t>S</w:t>
            </w:r>
            <w:r w:rsidRPr="007B64A1">
              <w:rPr>
                <w:rFonts w:eastAsia="Calibri" w:cs="Times New Roman"/>
              </w:rPr>
              <w:t xml:space="preserve">taff </w:t>
            </w:r>
            <w:r w:rsidR="009F4BD7">
              <w:rPr>
                <w:rFonts w:eastAsia="Calibri" w:cs="Times New Roman"/>
              </w:rPr>
              <w:t>M</w:t>
            </w:r>
            <w:r w:rsidRPr="007B64A1">
              <w:rPr>
                <w:rFonts w:eastAsia="Calibri" w:cs="Times New Roman"/>
              </w:rPr>
              <w:t>embers in preventing fraud and corruption and modelling ethical behaviour;</w:t>
            </w:r>
          </w:p>
          <w:p w:rsidR="000E7722" w:rsidRPr="007B64A1" w:rsidRDefault="000E7722" w:rsidP="00191739">
            <w:pPr>
              <w:numPr>
                <w:ilvl w:val="0"/>
                <w:numId w:val="3"/>
              </w:numPr>
              <w:spacing w:after="120"/>
              <w:ind w:left="426" w:hanging="284"/>
              <w:contextualSpacing/>
              <w:rPr>
                <w:rFonts w:eastAsia="Calibri" w:cs="Times New Roman"/>
              </w:rPr>
            </w:pPr>
            <w:r w:rsidRPr="007B64A1">
              <w:rPr>
                <w:rFonts w:eastAsia="Calibri" w:cs="Times New Roman"/>
              </w:rPr>
              <w:t>setting/enforcing disciplinary standards;</w:t>
            </w:r>
          </w:p>
          <w:p w:rsidR="000E7722" w:rsidRPr="007B64A1" w:rsidRDefault="000E7722" w:rsidP="00191739">
            <w:pPr>
              <w:numPr>
                <w:ilvl w:val="0"/>
                <w:numId w:val="3"/>
              </w:numPr>
              <w:spacing w:after="120"/>
              <w:ind w:left="426" w:hanging="284"/>
              <w:contextualSpacing/>
              <w:rPr>
                <w:rFonts w:eastAsia="Calibri" w:cs="Times New Roman"/>
              </w:rPr>
            </w:pPr>
            <w:r w:rsidRPr="007B64A1">
              <w:rPr>
                <w:rFonts w:eastAsia="Calibri" w:cs="Times New Roman"/>
              </w:rPr>
              <w:t>identify high fraud and corruption risk areas;</w:t>
            </w:r>
          </w:p>
          <w:p w:rsidR="000E7722" w:rsidRPr="007B64A1" w:rsidRDefault="000E7722" w:rsidP="00191739">
            <w:pPr>
              <w:numPr>
                <w:ilvl w:val="0"/>
                <w:numId w:val="3"/>
              </w:numPr>
              <w:spacing w:after="120"/>
              <w:ind w:left="426" w:hanging="284"/>
              <w:contextualSpacing/>
              <w:rPr>
                <w:rFonts w:eastAsia="Calibri" w:cs="Times New Roman"/>
              </w:rPr>
            </w:pPr>
            <w:r w:rsidRPr="007B64A1">
              <w:rPr>
                <w:rFonts w:eastAsia="Calibri" w:cs="Times New Roman"/>
              </w:rPr>
              <w:t>identify specific sources of fraud or corruption risk;</w:t>
            </w:r>
          </w:p>
          <w:p w:rsidR="000E7722" w:rsidRPr="007B64A1" w:rsidRDefault="000E7722" w:rsidP="00191739">
            <w:pPr>
              <w:numPr>
                <w:ilvl w:val="0"/>
                <w:numId w:val="3"/>
              </w:numPr>
              <w:spacing w:after="120"/>
              <w:ind w:left="426" w:hanging="284"/>
              <w:contextualSpacing/>
              <w:rPr>
                <w:rFonts w:eastAsia="Calibri" w:cs="Times New Roman"/>
              </w:rPr>
            </w:pPr>
            <w:r w:rsidRPr="007B64A1">
              <w:rPr>
                <w:rFonts w:eastAsia="Calibri" w:cs="Times New Roman"/>
              </w:rPr>
              <w:t>participate in fraud and corruption risk assessment reviews;</w:t>
            </w:r>
          </w:p>
          <w:p w:rsidR="000E7722" w:rsidRPr="007B64A1" w:rsidRDefault="000E7722" w:rsidP="00191739">
            <w:pPr>
              <w:numPr>
                <w:ilvl w:val="0"/>
                <w:numId w:val="3"/>
              </w:numPr>
              <w:spacing w:after="120"/>
              <w:ind w:left="426" w:hanging="284"/>
              <w:contextualSpacing/>
              <w:rPr>
                <w:rFonts w:eastAsia="Calibri" w:cs="Times New Roman"/>
              </w:rPr>
            </w:pPr>
            <w:r w:rsidRPr="007B64A1">
              <w:rPr>
                <w:rFonts w:eastAsia="Calibri" w:cs="Times New Roman"/>
              </w:rPr>
              <w:t>implement remedial action to address issues identified by the fraud and corruption risk assessment reviews;</w:t>
            </w:r>
          </w:p>
          <w:p w:rsidR="000E7722" w:rsidRPr="007B64A1" w:rsidRDefault="000E7722" w:rsidP="00191739">
            <w:pPr>
              <w:numPr>
                <w:ilvl w:val="0"/>
                <w:numId w:val="3"/>
              </w:numPr>
              <w:spacing w:after="120"/>
              <w:ind w:left="426" w:hanging="284"/>
              <w:contextualSpacing/>
              <w:rPr>
                <w:rFonts w:eastAsia="Calibri" w:cs="Times New Roman"/>
              </w:rPr>
            </w:pPr>
            <w:r w:rsidRPr="007B64A1">
              <w:rPr>
                <w:rFonts w:eastAsia="Calibri" w:cs="Times New Roman"/>
              </w:rPr>
              <w:t>assess the cost/benefit of introducing anti-fraud and corruption procedures;</w:t>
            </w:r>
          </w:p>
          <w:p w:rsidR="000E7722" w:rsidRPr="007B64A1" w:rsidRDefault="000E7722" w:rsidP="00191739">
            <w:pPr>
              <w:numPr>
                <w:ilvl w:val="0"/>
                <w:numId w:val="3"/>
              </w:numPr>
              <w:spacing w:after="120"/>
              <w:ind w:left="426" w:hanging="284"/>
              <w:contextualSpacing/>
              <w:rPr>
                <w:rFonts w:eastAsia="Calibri" w:cs="Times New Roman"/>
              </w:rPr>
            </w:pPr>
            <w:r w:rsidRPr="007B64A1">
              <w:rPr>
                <w:rFonts w:eastAsia="Calibri" w:cs="Times New Roman"/>
              </w:rPr>
              <w:t>develop/modify practices to reduce fraud and corruption risk;</w:t>
            </w:r>
          </w:p>
          <w:p w:rsidR="000E7722" w:rsidRPr="007B64A1" w:rsidRDefault="000E7722" w:rsidP="00191739">
            <w:pPr>
              <w:numPr>
                <w:ilvl w:val="0"/>
                <w:numId w:val="3"/>
              </w:numPr>
              <w:spacing w:after="120"/>
              <w:ind w:left="426" w:hanging="284"/>
              <w:contextualSpacing/>
              <w:rPr>
                <w:rFonts w:eastAsia="Calibri" w:cs="Times New Roman"/>
              </w:rPr>
            </w:pPr>
            <w:r w:rsidRPr="007B64A1">
              <w:rPr>
                <w:rFonts w:eastAsia="Calibri" w:cs="Times New Roman"/>
              </w:rPr>
              <w:t>monitor the continued operation of controls to prevent fraud and corruption;</w:t>
            </w:r>
          </w:p>
          <w:p w:rsidR="000E7722" w:rsidRPr="007B64A1" w:rsidRDefault="000E7722" w:rsidP="00191739">
            <w:pPr>
              <w:numPr>
                <w:ilvl w:val="0"/>
                <w:numId w:val="3"/>
              </w:numPr>
              <w:spacing w:after="120"/>
              <w:ind w:left="426" w:hanging="284"/>
              <w:contextualSpacing/>
              <w:rPr>
                <w:rFonts w:eastAsia="Calibri" w:cs="Times New Roman"/>
              </w:rPr>
            </w:pPr>
            <w:r w:rsidRPr="007B64A1">
              <w:rPr>
                <w:rFonts w:eastAsia="Calibri" w:cs="Times New Roman"/>
              </w:rPr>
              <w:t xml:space="preserve">receive reports of suspected fraud or corruption from </w:t>
            </w:r>
            <w:r w:rsidR="009F4BD7">
              <w:rPr>
                <w:rFonts w:eastAsia="Calibri" w:cs="Times New Roman"/>
              </w:rPr>
              <w:t>S</w:t>
            </w:r>
            <w:r w:rsidRPr="007B64A1">
              <w:rPr>
                <w:rFonts w:eastAsia="Calibri" w:cs="Times New Roman"/>
              </w:rPr>
              <w:t xml:space="preserve">taff </w:t>
            </w:r>
            <w:r w:rsidR="009F4BD7">
              <w:rPr>
                <w:rFonts w:eastAsia="Calibri" w:cs="Times New Roman"/>
              </w:rPr>
              <w:t>M</w:t>
            </w:r>
            <w:r w:rsidRPr="007B64A1">
              <w:rPr>
                <w:rFonts w:eastAsia="Calibri" w:cs="Times New Roman"/>
              </w:rPr>
              <w:t>embers and taking appropriate steps to address the concerns reported;</w:t>
            </w:r>
          </w:p>
          <w:p w:rsidR="000E7722" w:rsidRPr="00191739" w:rsidRDefault="000E7722" w:rsidP="0094249E">
            <w:pPr>
              <w:numPr>
                <w:ilvl w:val="0"/>
                <w:numId w:val="3"/>
              </w:numPr>
              <w:spacing w:after="120"/>
              <w:contextualSpacing/>
              <w:rPr>
                <w:rFonts w:eastAsia="Calibri" w:cs="Times New Roman"/>
              </w:rPr>
            </w:pPr>
            <w:r w:rsidRPr="007B64A1">
              <w:rPr>
                <w:rFonts w:eastAsia="Calibri" w:cs="Times New Roman"/>
              </w:rPr>
              <w:t xml:space="preserve">report suspected fraud and corruption promptly and maintain confidentiality; and </w:t>
            </w:r>
            <w:r w:rsidR="009F4BD7" w:rsidRPr="007B64A1">
              <w:rPr>
                <w:rFonts w:eastAsia="Calibri" w:cs="Times New Roman"/>
              </w:rPr>
              <w:t>ensur</w:t>
            </w:r>
            <w:r w:rsidR="009F4BD7">
              <w:rPr>
                <w:rFonts w:eastAsia="Calibri" w:cs="Times New Roman"/>
              </w:rPr>
              <w:t>e</w:t>
            </w:r>
            <w:r w:rsidR="009F4BD7" w:rsidRPr="007B64A1">
              <w:rPr>
                <w:rFonts w:eastAsia="Calibri" w:cs="Times New Roman"/>
              </w:rPr>
              <w:t xml:space="preserve"> </w:t>
            </w:r>
            <w:r w:rsidRPr="007B64A1">
              <w:rPr>
                <w:rFonts w:eastAsia="Calibri" w:cs="Times New Roman"/>
              </w:rPr>
              <w:t xml:space="preserve">the protection of </w:t>
            </w:r>
            <w:r w:rsidRPr="007B64A1">
              <w:rPr>
                <w:rFonts w:eastAsia="Calibri" w:cs="Times New Roman"/>
              </w:rPr>
              <w:lastRenderedPageBreak/>
              <w:t>complainants who report fraudulent or corrupt activities</w:t>
            </w:r>
          </w:p>
        </w:tc>
        <w:tc>
          <w:tcPr>
            <w:tcW w:w="6929" w:type="dxa"/>
          </w:tcPr>
          <w:p w:rsidR="000E7722" w:rsidRDefault="000E7722" w:rsidP="00627242"/>
        </w:tc>
      </w:tr>
      <w:tr w:rsidR="000E7722" w:rsidTr="005B1517">
        <w:tc>
          <w:tcPr>
            <w:tcW w:w="6929" w:type="dxa"/>
          </w:tcPr>
          <w:p w:rsidR="000E7722" w:rsidRPr="007B64A1" w:rsidRDefault="000E7722" w:rsidP="00191739">
            <w:pPr>
              <w:spacing w:after="120"/>
              <w:contextualSpacing/>
              <w:rPr>
                <w:rFonts w:eastAsia="Calibri" w:cs="Times New Roman"/>
                <w:u w:val="single"/>
              </w:rPr>
            </w:pPr>
            <w:r w:rsidRPr="007B64A1">
              <w:rPr>
                <w:rFonts w:eastAsia="Calibri" w:cs="Times New Roman"/>
                <w:u w:val="single"/>
              </w:rPr>
              <w:lastRenderedPageBreak/>
              <w:t>Staff</w:t>
            </w:r>
            <w:r w:rsidR="009F4BD7">
              <w:rPr>
                <w:rFonts w:eastAsia="Calibri" w:cs="Times New Roman"/>
                <w:u w:val="single"/>
              </w:rPr>
              <w:t xml:space="preserve"> Members</w:t>
            </w:r>
          </w:p>
          <w:p w:rsidR="000E7722" w:rsidRPr="007B64A1" w:rsidRDefault="000E7722" w:rsidP="00191739">
            <w:pPr>
              <w:spacing w:after="120"/>
              <w:rPr>
                <w:rFonts w:eastAsia="Calibri" w:cs="Times New Roman"/>
              </w:rPr>
            </w:pPr>
            <w:r w:rsidRPr="007B64A1">
              <w:rPr>
                <w:rFonts w:eastAsia="Calibri" w:cs="Times New Roman"/>
              </w:rPr>
              <w:t xml:space="preserve">All </w:t>
            </w:r>
            <w:r>
              <w:rPr>
                <w:rFonts w:eastAsia="Calibri" w:cs="Times New Roman"/>
              </w:rPr>
              <w:t>&lt;INSERT HSP NAME&gt;</w:t>
            </w:r>
            <w:r w:rsidRPr="007B64A1">
              <w:rPr>
                <w:rFonts w:eastAsia="Calibri" w:cs="Times New Roman"/>
              </w:rPr>
              <w:t xml:space="preserve"> </w:t>
            </w:r>
            <w:r w:rsidR="009F4BD7">
              <w:rPr>
                <w:rFonts w:eastAsia="Calibri" w:cs="Times New Roman"/>
              </w:rPr>
              <w:t>S</w:t>
            </w:r>
            <w:r w:rsidRPr="007B64A1">
              <w:rPr>
                <w:rFonts w:eastAsia="Calibri" w:cs="Times New Roman"/>
              </w:rPr>
              <w:t>taff</w:t>
            </w:r>
            <w:r w:rsidR="009F4BD7">
              <w:rPr>
                <w:rFonts w:eastAsia="Calibri" w:cs="Times New Roman"/>
              </w:rPr>
              <w:t xml:space="preserve"> Members</w:t>
            </w:r>
            <w:r w:rsidRPr="007B64A1">
              <w:rPr>
                <w:rFonts w:eastAsia="Calibri" w:cs="Times New Roman"/>
              </w:rPr>
              <w:t xml:space="preserve"> are responsible for contributing to preventing fraud and corruption by acting with integrity and ethically; complying with controls, policies and procedures, and reporting suspected incidences of fraudulent or corrupt behaviour through their </w:t>
            </w:r>
            <w:r>
              <w:rPr>
                <w:rFonts w:eastAsia="Calibri" w:cs="Times New Roman"/>
              </w:rPr>
              <w:t>&lt;INSERT HSP NAME&gt;</w:t>
            </w:r>
            <w:r w:rsidRPr="007B64A1">
              <w:rPr>
                <w:rFonts w:eastAsia="Calibri" w:cs="Times New Roman"/>
              </w:rPr>
              <w:t xml:space="preserve">’s internal reporting framework or directly to the Corruption and Crime Commission (CCC). </w:t>
            </w:r>
          </w:p>
          <w:p w:rsidR="000E7722" w:rsidRPr="007B64A1" w:rsidRDefault="000E7722" w:rsidP="00191739">
            <w:pPr>
              <w:spacing w:after="120"/>
              <w:rPr>
                <w:rFonts w:eastAsia="Calibri" w:cs="Times New Roman"/>
              </w:rPr>
            </w:pPr>
            <w:r w:rsidRPr="007B64A1">
              <w:rPr>
                <w:rFonts w:eastAsia="Calibri" w:cs="Times New Roman"/>
              </w:rPr>
              <w:t xml:space="preserve">In accordance with the WA Health </w:t>
            </w:r>
            <w:r w:rsidR="0002365E">
              <w:rPr>
                <w:rFonts w:eastAsia="Calibri" w:cs="Times New Roman"/>
              </w:rPr>
              <w:t xml:space="preserve">System </w:t>
            </w:r>
            <w:r w:rsidRPr="007B64A1">
              <w:rPr>
                <w:rFonts w:eastAsia="Calibri" w:cs="Times New Roman"/>
              </w:rPr>
              <w:t xml:space="preserve">Code of Conduct </w:t>
            </w:r>
            <w:r>
              <w:rPr>
                <w:rFonts w:eastAsia="Calibri" w:cs="Times New Roman"/>
              </w:rPr>
              <w:t>&lt;INSERT HSP NAME&gt;</w:t>
            </w:r>
            <w:r w:rsidRPr="007B64A1">
              <w:rPr>
                <w:rFonts w:eastAsia="Calibri" w:cs="Times New Roman"/>
              </w:rPr>
              <w:t xml:space="preserve"> </w:t>
            </w:r>
            <w:r w:rsidR="0002365E">
              <w:rPr>
                <w:rFonts w:eastAsia="Calibri" w:cs="Times New Roman"/>
              </w:rPr>
              <w:t>S</w:t>
            </w:r>
            <w:r w:rsidRPr="007B64A1">
              <w:rPr>
                <w:rFonts w:eastAsia="Calibri" w:cs="Times New Roman"/>
              </w:rPr>
              <w:t>taff</w:t>
            </w:r>
            <w:r w:rsidR="0002365E">
              <w:rPr>
                <w:rFonts w:eastAsia="Calibri" w:cs="Times New Roman"/>
              </w:rPr>
              <w:t xml:space="preserve"> Members</w:t>
            </w:r>
            <w:r w:rsidRPr="007B64A1">
              <w:rPr>
                <w:rFonts w:eastAsia="Calibri" w:cs="Times New Roman"/>
              </w:rPr>
              <w:t xml:space="preserve"> will act to prevent victimisation of persons who report suspected incidences of fraud and corruption.  Acts of victimisation by </w:t>
            </w:r>
            <w:r w:rsidR="0002365E">
              <w:rPr>
                <w:rFonts w:eastAsia="Calibri" w:cs="Times New Roman"/>
              </w:rPr>
              <w:t>S</w:t>
            </w:r>
            <w:r w:rsidRPr="007B64A1">
              <w:rPr>
                <w:rFonts w:eastAsia="Calibri" w:cs="Times New Roman"/>
              </w:rPr>
              <w:t>taff</w:t>
            </w:r>
            <w:r w:rsidR="0002365E">
              <w:rPr>
                <w:rFonts w:eastAsia="Calibri" w:cs="Times New Roman"/>
              </w:rPr>
              <w:t xml:space="preserve"> Members</w:t>
            </w:r>
            <w:r w:rsidRPr="007B64A1">
              <w:rPr>
                <w:rFonts w:eastAsia="Calibri" w:cs="Times New Roman"/>
              </w:rPr>
              <w:t xml:space="preserve"> will be taken seriously by the </w:t>
            </w:r>
            <w:r>
              <w:rPr>
                <w:rFonts w:eastAsia="Calibri" w:cs="Times New Roman"/>
              </w:rPr>
              <w:t>&lt;INSERT HSP NAME&gt;</w:t>
            </w:r>
            <w:r w:rsidRPr="007B64A1">
              <w:rPr>
                <w:rFonts w:eastAsia="Calibri" w:cs="Times New Roman"/>
              </w:rPr>
              <w:t xml:space="preserve"> and may include disciplinary action. </w:t>
            </w:r>
          </w:p>
          <w:p w:rsidR="000E7722" w:rsidRPr="007B64A1" w:rsidRDefault="000E7722" w:rsidP="00191739">
            <w:pPr>
              <w:spacing w:after="120"/>
              <w:rPr>
                <w:rFonts w:eastAsia="Calibri" w:cs="Times New Roman"/>
              </w:rPr>
            </w:pPr>
            <w:r w:rsidRPr="007B64A1">
              <w:rPr>
                <w:rFonts w:eastAsia="Calibri" w:cs="Times New Roman"/>
              </w:rPr>
              <w:t xml:space="preserve">To be able to actively and positively contribute to fraud and corruption prevention all </w:t>
            </w:r>
            <w:r>
              <w:rPr>
                <w:rFonts w:eastAsia="Calibri" w:cs="Times New Roman"/>
              </w:rPr>
              <w:t>&lt;INSERT HSP NAME&gt;</w:t>
            </w:r>
            <w:r w:rsidRPr="007B64A1">
              <w:rPr>
                <w:rFonts w:eastAsia="Calibri" w:cs="Times New Roman"/>
              </w:rPr>
              <w:t xml:space="preserve"> </w:t>
            </w:r>
            <w:r w:rsidR="0002365E">
              <w:rPr>
                <w:rFonts w:eastAsia="Calibri" w:cs="Times New Roman"/>
              </w:rPr>
              <w:t>S</w:t>
            </w:r>
            <w:r w:rsidRPr="007B64A1">
              <w:rPr>
                <w:rFonts w:eastAsia="Calibri" w:cs="Times New Roman"/>
              </w:rPr>
              <w:t>taff</w:t>
            </w:r>
            <w:r w:rsidR="0002365E">
              <w:rPr>
                <w:rFonts w:eastAsia="Calibri" w:cs="Times New Roman"/>
              </w:rPr>
              <w:t xml:space="preserve"> Members</w:t>
            </w:r>
            <w:r w:rsidRPr="007B64A1">
              <w:rPr>
                <w:rFonts w:eastAsia="Calibri" w:cs="Times New Roman"/>
              </w:rPr>
              <w:t xml:space="preserve"> should: </w:t>
            </w:r>
          </w:p>
          <w:p w:rsidR="000E7722" w:rsidRPr="007B64A1" w:rsidRDefault="000E7722" w:rsidP="00200F1E">
            <w:pPr>
              <w:numPr>
                <w:ilvl w:val="0"/>
                <w:numId w:val="3"/>
              </w:numPr>
              <w:spacing w:after="120"/>
              <w:contextualSpacing/>
              <w:rPr>
                <w:rFonts w:eastAsia="Calibri" w:cs="Times New Roman"/>
              </w:rPr>
            </w:pPr>
            <w:r w:rsidRPr="007B64A1">
              <w:rPr>
                <w:rFonts w:eastAsia="Calibri" w:cs="Times New Roman"/>
              </w:rPr>
              <w:t xml:space="preserve">embrace an ethical workplace culture; </w:t>
            </w:r>
          </w:p>
          <w:p w:rsidR="000E7722" w:rsidRPr="007B64A1" w:rsidRDefault="000E7722" w:rsidP="00200F1E">
            <w:pPr>
              <w:numPr>
                <w:ilvl w:val="0"/>
                <w:numId w:val="3"/>
              </w:numPr>
              <w:spacing w:after="120"/>
              <w:contextualSpacing/>
              <w:rPr>
                <w:rFonts w:eastAsia="Calibri" w:cs="Times New Roman"/>
              </w:rPr>
            </w:pPr>
            <w:r w:rsidRPr="007B64A1">
              <w:rPr>
                <w:rFonts w:eastAsia="Calibri" w:cs="Times New Roman"/>
              </w:rPr>
              <w:t xml:space="preserve">recognise the value and importance of personally contributing to fraud and corruption prevention; </w:t>
            </w:r>
          </w:p>
          <w:p w:rsidR="000E7722" w:rsidRPr="007B64A1" w:rsidRDefault="000E7722" w:rsidP="00200F1E">
            <w:pPr>
              <w:numPr>
                <w:ilvl w:val="0"/>
                <w:numId w:val="3"/>
              </w:numPr>
              <w:spacing w:after="120"/>
              <w:contextualSpacing/>
              <w:rPr>
                <w:rFonts w:eastAsia="Calibri" w:cs="Times New Roman"/>
              </w:rPr>
            </w:pPr>
            <w:r w:rsidRPr="007B64A1">
              <w:rPr>
                <w:rFonts w:eastAsia="Calibri" w:cs="Times New Roman"/>
              </w:rPr>
              <w:t xml:space="preserve">develop an understanding of good work practices, systems and controls; </w:t>
            </w:r>
          </w:p>
          <w:p w:rsidR="000E7722" w:rsidRPr="007B64A1" w:rsidRDefault="000E7722" w:rsidP="00200F1E">
            <w:pPr>
              <w:numPr>
                <w:ilvl w:val="0"/>
                <w:numId w:val="3"/>
              </w:numPr>
              <w:spacing w:after="120"/>
              <w:contextualSpacing/>
              <w:rPr>
                <w:rFonts w:eastAsia="Calibri" w:cs="Times New Roman"/>
              </w:rPr>
            </w:pPr>
            <w:r w:rsidRPr="007B64A1">
              <w:rPr>
                <w:rFonts w:eastAsia="Calibri" w:cs="Times New Roman"/>
              </w:rPr>
              <w:t>keep abreast of best practices for preventing fraud and corruption;</w:t>
            </w:r>
          </w:p>
          <w:p w:rsidR="000E7722" w:rsidRPr="007B64A1" w:rsidRDefault="000E7722" w:rsidP="00200F1E">
            <w:pPr>
              <w:numPr>
                <w:ilvl w:val="0"/>
                <w:numId w:val="3"/>
              </w:numPr>
              <w:spacing w:after="120"/>
              <w:contextualSpacing/>
              <w:rPr>
                <w:rFonts w:eastAsia="Calibri" w:cs="Times New Roman"/>
              </w:rPr>
            </w:pPr>
            <w:r w:rsidRPr="007B64A1">
              <w:rPr>
                <w:rFonts w:eastAsia="Calibri" w:cs="Times New Roman"/>
              </w:rPr>
              <w:t xml:space="preserve">become aware of the different types of fraud and corruption that can occur in the workplace and how to detect them; and </w:t>
            </w:r>
          </w:p>
          <w:p w:rsidR="000E7722" w:rsidRPr="00191739" w:rsidRDefault="000E7722" w:rsidP="00200F1E">
            <w:pPr>
              <w:numPr>
                <w:ilvl w:val="0"/>
                <w:numId w:val="3"/>
              </w:numPr>
              <w:spacing w:after="120"/>
              <w:rPr>
                <w:rFonts w:eastAsia="Calibri" w:cs="Times New Roman"/>
              </w:rPr>
            </w:pPr>
            <w:proofErr w:type="gramStart"/>
            <w:r w:rsidRPr="007B64A1">
              <w:rPr>
                <w:rFonts w:eastAsia="Calibri" w:cs="Times New Roman"/>
              </w:rPr>
              <w:t>report</w:t>
            </w:r>
            <w:proofErr w:type="gramEnd"/>
            <w:r w:rsidRPr="007B64A1">
              <w:rPr>
                <w:rFonts w:eastAsia="Calibri" w:cs="Times New Roman"/>
              </w:rPr>
              <w:t xml:space="preserve"> suspected incidences of fraudulent or corrupt </w:t>
            </w:r>
            <w:r w:rsidRPr="007B64A1">
              <w:rPr>
                <w:rFonts w:eastAsia="Calibri" w:cs="Times New Roman"/>
              </w:rPr>
              <w:lastRenderedPageBreak/>
              <w:t xml:space="preserve">conduct in accordance with </w:t>
            </w:r>
            <w:r w:rsidR="0002365E">
              <w:rPr>
                <w:rFonts w:eastAsia="Calibri" w:cs="Times New Roman"/>
              </w:rPr>
              <w:t xml:space="preserve">the relevant </w:t>
            </w:r>
            <w:r w:rsidRPr="007B64A1">
              <w:rPr>
                <w:rFonts w:eastAsia="Calibri" w:cs="Times New Roman"/>
              </w:rPr>
              <w:t>policies and procedures.</w:t>
            </w:r>
          </w:p>
        </w:tc>
        <w:tc>
          <w:tcPr>
            <w:tcW w:w="6929" w:type="dxa"/>
          </w:tcPr>
          <w:p w:rsidR="000E7722" w:rsidRDefault="000E7722" w:rsidP="004A580A">
            <w:pPr>
              <w:rPr>
                <w:color w:val="A6A6A6" w:themeColor="background1" w:themeShade="A6"/>
              </w:rPr>
            </w:pPr>
            <w:r>
              <w:rPr>
                <w:color w:val="A6A6A6" w:themeColor="background1" w:themeShade="A6"/>
              </w:rPr>
              <w:lastRenderedPageBreak/>
              <w:t>May need to be evidenced by:</w:t>
            </w:r>
          </w:p>
          <w:p w:rsidR="000E7722" w:rsidRDefault="000E7722" w:rsidP="004A580A">
            <w:pPr>
              <w:pStyle w:val="ListParagraph"/>
              <w:numPr>
                <w:ilvl w:val="0"/>
                <w:numId w:val="8"/>
              </w:numPr>
              <w:rPr>
                <w:color w:val="A6A6A6" w:themeColor="background1" w:themeShade="A6"/>
              </w:rPr>
            </w:pPr>
            <w:r w:rsidRPr="004A580A">
              <w:rPr>
                <w:color w:val="A6A6A6" w:themeColor="background1" w:themeShade="A6"/>
              </w:rPr>
              <w:t xml:space="preserve">Percentage of </w:t>
            </w:r>
            <w:r w:rsidR="0002365E">
              <w:rPr>
                <w:color w:val="A6A6A6" w:themeColor="background1" w:themeShade="A6"/>
              </w:rPr>
              <w:t>S</w:t>
            </w:r>
            <w:r w:rsidRPr="004A580A">
              <w:rPr>
                <w:color w:val="A6A6A6" w:themeColor="background1" w:themeShade="A6"/>
              </w:rPr>
              <w:t>taff</w:t>
            </w:r>
            <w:r w:rsidR="0002365E">
              <w:rPr>
                <w:color w:val="A6A6A6" w:themeColor="background1" w:themeShade="A6"/>
              </w:rPr>
              <w:t xml:space="preserve"> Members</w:t>
            </w:r>
            <w:r w:rsidRPr="004A580A">
              <w:rPr>
                <w:color w:val="A6A6A6" w:themeColor="background1" w:themeShade="A6"/>
              </w:rPr>
              <w:t xml:space="preserve"> completing mandatory training </w:t>
            </w:r>
            <w:r w:rsidR="0002365E" w:rsidRPr="004A580A">
              <w:rPr>
                <w:color w:val="A6A6A6" w:themeColor="background1" w:themeShade="A6"/>
              </w:rPr>
              <w:t>e.g.</w:t>
            </w:r>
            <w:r w:rsidRPr="004A580A">
              <w:rPr>
                <w:color w:val="A6A6A6" w:themeColor="background1" w:themeShade="A6"/>
              </w:rPr>
              <w:t xml:space="preserve"> ADEM, Records Awareness Training</w:t>
            </w:r>
          </w:p>
          <w:p w:rsidR="000E7722" w:rsidRDefault="000E7722" w:rsidP="004A580A">
            <w:pPr>
              <w:pStyle w:val="ListParagraph"/>
              <w:numPr>
                <w:ilvl w:val="0"/>
                <w:numId w:val="8"/>
              </w:numPr>
              <w:rPr>
                <w:color w:val="A6A6A6" w:themeColor="background1" w:themeShade="A6"/>
              </w:rPr>
            </w:pPr>
            <w:r>
              <w:rPr>
                <w:color w:val="A6A6A6" w:themeColor="background1" w:themeShade="A6"/>
              </w:rPr>
              <w:t>Education and promotion activities</w:t>
            </w:r>
          </w:p>
          <w:p w:rsidR="000E7722" w:rsidRDefault="0002365E" w:rsidP="004A580A">
            <w:pPr>
              <w:pStyle w:val="ListParagraph"/>
              <w:numPr>
                <w:ilvl w:val="0"/>
                <w:numId w:val="8"/>
              </w:numPr>
              <w:rPr>
                <w:color w:val="A6A6A6" w:themeColor="background1" w:themeShade="A6"/>
              </w:rPr>
            </w:pPr>
            <w:r>
              <w:rPr>
                <w:color w:val="A6A6A6" w:themeColor="background1" w:themeShade="A6"/>
              </w:rPr>
              <w:t>N</w:t>
            </w:r>
            <w:r w:rsidR="000E7722">
              <w:rPr>
                <w:color w:val="A6A6A6" w:themeColor="background1" w:themeShade="A6"/>
              </w:rPr>
              <w:t xml:space="preserve">umber of reports of potential suspected misconduct </w:t>
            </w:r>
          </w:p>
          <w:p w:rsidR="000E7722" w:rsidRDefault="000E7722" w:rsidP="004A580A">
            <w:pPr>
              <w:pStyle w:val="ListParagraph"/>
              <w:numPr>
                <w:ilvl w:val="0"/>
                <w:numId w:val="8"/>
              </w:numPr>
              <w:rPr>
                <w:color w:val="A6A6A6" w:themeColor="background1" w:themeShade="A6"/>
              </w:rPr>
            </w:pPr>
            <w:r>
              <w:rPr>
                <w:color w:val="A6A6A6" w:themeColor="background1" w:themeShade="A6"/>
              </w:rPr>
              <w:t xml:space="preserve">Specific requirements by </w:t>
            </w:r>
            <w:r w:rsidR="0002365E">
              <w:rPr>
                <w:color w:val="A6A6A6" w:themeColor="background1" w:themeShade="A6"/>
              </w:rPr>
              <w:t xml:space="preserve">the </w:t>
            </w:r>
            <w:r>
              <w:rPr>
                <w:color w:val="A6A6A6" w:themeColor="background1" w:themeShade="A6"/>
              </w:rPr>
              <w:t xml:space="preserve">HSP to review </w:t>
            </w:r>
            <w:r w:rsidR="003F05B8">
              <w:rPr>
                <w:color w:val="A6A6A6" w:themeColor="background1" w:themeShade="A6"/>
              </w:rPr>
              <w:t xml:space="preserve">integrity related </w:t>
            </w:r>
            <w:r>
              <w:rPr>
                <w:color w:val="A6A6A6" w:themeColor="background1" w:themeShade="A6"/>
              </w:rPr>
              <w:t>training</w:t>
            </w:r>
            <w:r w:rsidR="003D0D84">
              <w:rPr>
                <w:color w:val="A6A6A6" w:themeColor="background1" w:themeShade="A6"/>
              </w:rPr>
              <w:t xml:space="preserve"> delivered</w:t>
            </w:r>
          </w:p>
          <w:p w:rsidR="000E7722" w:rsidRPr="004A580A" w:rsidRDefault="000E7722" w:rsidP="004A580A">
            <w:pPr>
              <w:pStyle w:val="ListParagraph"/>
              <w:numPr>
                <w:ilvl w:val="0"/>
                <w:numId w:val="8"/>
              </w:numPr>
              <w:rPr>
                <w:color w:val="A6A6A6" w:themeColor="background1" w:themeShade="A6"/>
              </w:rPr>
            </w:pPr>
            <w:r>
              <w:rPr>
                <w:color w:val="A6A6A6" w:themeColor="background1" w:themeShade="A6"/>
              </w:rPr>
              <w:t xml:space="preserve">Staff </w:t>
            </w:r>
            <w:r w:rsidR="0002365E">
              <w:rPr>
                <w:color w:val="A6A6A6" w:themeColor="background1" w:themeShade="A6"/>
              </w:rPr>
              <w:t xml:space="preserve">Members </w:t>
            </w:r>
            <w:r>
              <w:rPr>
                <w:color w:val="A6A6A6" w:themeColor="background1" w:themeShade="A6"/>
              </w:rPr>
              <w:t>involved in contract management, procurement, finance, payment of invoices, audit, risk management</w:t>
            </w:r>
          </w:p>
        </w:tc>
      </w:tr>
      <w:tr w:rsidR="000E7722" w:rsidTr="005B1517">
        <w:tc>
          <w:tcPr>
            <w:tcW w:w="6929" w:type="dxa"/>
          </w:tcPr>
          <w:p w:rsidR="000E7722" w:rsidRPr="007B64A1" w:rsidRDefault="000E7722" w:rsidP="00754BD3">
            <w:pPr>
              <w:spacing w:after="120"/>
              <w:contextualSpacing/>
              <w:rPr>
                <w:rFonts w:eastAsia="Calibri" w:cs="Times New Roman"/>
                <w:u w:val="single"/>
              </w:rPr>
            </w:pPr>
            <w:bookmarkStart w:id="3" w:name="_Toc527708664"/>
            <w:r w:rsidRPr="007B64A1">
              <w:rPr>
                <w:rFonts w:eastAsia="Calibri" w:cs="Times New Roman"/>
                <w:u w:val="single"/>
              </w:rPr>
              <w:lastRenderedPageBreak/>
              <w:t xml:space="preserve">Integrity </w:t>
            </w:r>
            <w:bookmarkEnd w:id="3"/>
            <w:r w:rsidRPr="007B64A1">
              <w:rPr>
                <w:rFonts w:eastAsia="Calibri" w:cs="Times New Roman"/>
                <w:u w:val="single"/>
              </w:rPr>
              <w:t>Area</w:t>
            </w:r>
          </w:p>
          <w:p w:rsidR="000E7722" w:rsidRPr="007B64A1" w:rsidRDefault="000E7722" w:rsidP="00754BD3">
            <w:pPr>
              <w:numPr>
                <w:ilvl w:val="0"/>
                <w:numId w:val="3"/>
              </w:numPr>
              <w:spacing w:after="120"/>
              <w:contextualSpacing/>
              <w:rPr>
                <w:rFonts w:eastAsia="Calibri" w:cs="Times New Roman"/>
              </w:rPr>
            </w:pPr>
            <w:r w:rsidRPr="007B64A1">
              <w:rPr>
                <w:rFonts w:eastAsia="Calibri" w:cs="Times New Roman"/>
              </w:rPr>
              <w:t>Ensuring comprehensive investigations are undertaken with regard to fraud or corruption.</w:t>
            </w:r>
          </w:p>
          <w:p w:rsidR="000E7722" w:rsidRPr="007B64A1" w:rsidRDefault="000E7722" w:rsidP="00754BD3">
            <w:pPr>
              <w:numPr>
                <w:ilvl w:val="0"/>
                <w:numId w:val="3"/>
              </w:numPr>
              <w:spacing w:after="120"/>
              <w:contextualSpacing/>
              <w:rPr>
                <w:rFonts w:eastAsia="Calibri" w:cs="Times New Roman"/>
              </w:rPr>
            </w:pPr>
            <w:r w:rsidRPr="007B64A1">
              <w:rPr>
                <w:rFonts w:eastAsia="Calibri" w:cs="Times New Roman"/>
              </w:rPr>
              <w:t xml:space="preserve">Ongoing oversight of misconduct </w:t>
            </w:r>
            <w:r w:rsidR="0002365E">
              <w:rPr>
                <w:rFonts w:eastAsia="Calibri" w:cs="Times New Roman"/>
              </w:rPr>
              <w:t xml:space="preserve">and disciplinary </w:t>
            </w:r>
            <w:r w:rsidRPr="007B64A1">
              <w:rPr>
                <w:rFonts w:eastAsia="Calibri" w:cs="Times New Roman"/>
              </w:rPr>
              <w:t>matters concerning fraud and corruption.</w:t>
            </w:r>
          </w:p>
          <w:p w:rsidR="000E7722" w:rsidRPr="007B64A1" w:rsidRDefault="000E7722" w:rsidP="00754BD3">
            <w:pPr>
              <w:numPr>
                <w:ilvl w:val="0"/>
                <w:numId w:val="3"/>
              </w:numPr>
              <w:spacing w:after="120"/>
              <w:contextualSpacing/>
              <w:rPr>
                <w:rFonts w:eastAsia="Calibri" w:cs="Times New Roman"/>
              </w:rPr>
            </w:pPr>
            <w:r w:rsidRPr="007B64A1">
              <w:rPr>
                <w:rFonts w:eastAsia="Calibri" w:cs="Times New Roman"/>
              </w:rPr>
              <w:t xml:space="preserve">Ensuring reporting of allegations of misconduct </w:t>
            </w:r>
            <w:proofErr w:type="gramStart"/>
            <w:r w:rsidR="0002365E">
              <w:rPr>
                <w:rFonts w:eastAsia="Calibri" w:cs="Times New Roman"/>
              </w:rPr>
              <w:t>are</w:t>
            </w:r>
            <w:proofErr w:type="gramEnd"/>
            <w:r w:rsidR="0002365E">
              <w:rPr>
                <w:rFonts w:eastAsia="Calibri" w:cs="Times New Roman"/>
              </w:rPr>
              <w:t xml:space="preserve"> </w:t>
            </w:r>
            <w:r w:rsidRPr="007B64A1">
              <w:rPr>
                <w:rFonts w:eastAsia="Calibri" w:cs="Times New Roman"/>
              </w:rPr>
              <w:t>managed in a timely manner.</w:t>
            </w:r>
          </w:p>
          <w:p w:rsidR="000E7722" w:rsidRPr="007B64A1" w:rsidRDefault="000E7722" w:rsidP="00754BD3">
            <w:pPr>
              <w:numPr>
                <w:ilvl w:val="0"/>
                <w:numId w:val="3"/>
              </w:numPr>
              <w:spacing w:after="120"/>
              <w:contextualSpacing/>
              <w:rPr>
                <w:rFonts w:eastAsia="Calibri" w:cs="Times New Roman"/>
              </w:rPr>
            </w:pPr>
            <w:r w:rsidRPr="007B64A1">
              <w:rPr>
                <w:rFonts w:eastAsia="Calibri" w:cs="Times New Roman"/>
              </w:rPr>
              <w:t>Undertaking assessment</w:t>
            </w:r>
            <w:r w:rsidR="0002365E">
              <w:rPr>
                <w:rFonts w:eastAsia="Calibri" w:cs="Times New Roman"/>
              </w:rPr>
              <w:t>s</w:t>
            </w:r>
            <w:r w:rsidRPr="007B64A1">
              <w:rPr>
                <w:rFonts w:eastAsia="Calibri" w:cs="Times New Roman"/>
              </w:rPr>
              <w:t xml:space="preserve"> of all reported allegations of fraud and corruption to determin</w:t>
            </w:r>
            <w:r w:rsidR="0002365E">
              <w:rPr>
                <w:rFonts w:eastAsia="Calibri" w:cs="Times New Roman"/>
              </w:rPr>
              <w:t>e</w:t>
            </w:r>
            <w:r w:rsidRPr="007B64A1">
              <w:rPr>
                <w:rFonts w:eastAsia="Calibri" w:cs="Times New Roman"/>
              </w:rPr>
              <w:t xml:space="preserve"> if matters should be considered as either serious or minor misconduct.</w:t>
            </w:r>
          </w:p>
          <w:p w:rsidR="000E7722" w:rsidRPr="007B64A1" w:rsidRDefault="000E7722" w:rsidP="00754BD3">
            <w:pPr>
              <w:numPr>
                <w:ilvl w:val="0"/>
                <w:numId w:val="3"/>
              </w:numPr>
              <w:spacing w:after="120"/>
              <w:contextualSpacing/>
              <w:rPr>
                <w:rFonts w:eastAsia="Calibri" w:cs="Times New Roman"/>
              </w:rPr>
            </w:pPr>
            <w:r w:rsidRPr="007B64A1">
              <w:rPr>
                <w:rFonts w:eastAsia="Calibri" w:cs="Times New Roman"/>
              </w:rPr>
              <w:t>Ensuring appropriate reporting to either the CCC or the Public Sector Commission.</w:t>
            </w:r>
          </w:p>
          <w:p w:rsidR="000E7722" w:rsidRPr="007B64A1" w:rsidRDefault="000E7722" w:rsidP="00754BD3">
            <w:pPr>
              <w:numPr>
                <w:ilvl w:val="0"/>
                <w:numId w:val="3"/>
              </w:numPr>
              <w:spacing w:after="120"/>
              <w:contextualSpacing/>
              <w:rPr>
                <w:rFonts w:eastAsia="Calibri" w:cs="Times New Roman"/>
              </w:rPr>
            </w:pPr>
            <w:r w:rsidRPr="007B64A1">
              <w:rPr>
                <w:rFonts w:eastAsia="Calibri" w:cs="Times New Roman"/>
              </w:rPr>
              <w:t xml:space="preserve">Providing advice and support to the Chief Executive, Area Executive Group, Managers and </w:t>
            </w:r>
            <w:r w:rsidR="0002365E">
              <w:rPr>
                <w:rFonts w:eastAsia="Calibri" w:cs="Times New Roman"/>
              </w:rPr>
              <w:t>S</w:t>
            </w:r>
            <w:r w:rsidRPr="007B64A1">
              <w:rPr>
                <w:rFonts w:eastAsia="Calibri" w:cs="Times New Roman"/>
              </w:rPr>
              <w:t>taff</w:t>
            </w:r>
            <w:r w:rsidR="0002365E">
              <w:rPr>
                <w:rFonts w:eastAsia="Calibri" w:cs="Times New Roman"/>
              </w:rPr>
              <w:t xml:space="preserve"> Members</w:t>
            </w:r>
            <w:r w:rsidRPr="007B64A1">
              <w:rPr>
                <w:rFonts w:eastAsia="Calibri" w:cs="Times New Roman"/>
              </w:rPr>
              <w:t xml:space="preserve"> relating to integrity and ethical governance issues.</w:t>
            </w:r>
          </w:p>
          <w:p w:rsidR="000E7722" w:rsidRPr="00ED185F" w:rsidRDefault="000E7722" w:rsidP="004A580A">
            <w:pPr>
              <w:numPr>
                <w:ilvl w:val="0"/>
                <w:numId w:val="3"/>
              </w:numPr>
              <w:spacing w:after="120"/>
              <w:contextualSpacing/>
              <w:rPr>
                <w:rFonts w:eastAsia="Calibri" w:cs="Times New Roman"/>
              </w:rPr>
            </w:pPr>
            <w:r w:rsidRPr="007B64A1">
              <w:rPr>
                <w:rFonts w:eastAsia="Calibri" w:cs="Times New Roman"/>
              </w:rPr>
              <w:t>Fraud and corruption awareness/education/prevention programs</w:t>
            </w:r>
            <w:r w:rsidR="0002365E">
              <w:rPr>
                <w:rFonts w:eastAsia="Calibri" w:cs="Times New Roman"/>
              </w:rPr>
              <w:t>.</w:t>
            </w:r>
          </w:p>
        </w:tc>
        <w:tc>
          <w:tcPr>
            <w:tcW w:w="6929" w:type="dxa"/>
          </w:tcPr>
          <w:p w:rsidR="000E7722" w:rsidRDefault="000E7722" w:rsidP="00627242"/>
        </w:tc>
      </w:tr>
      <w:tr w:rsidR="000E7722" w:rsidTr="005B1517">
        <w:tc>
          <w:tcPr>
            <w:tcW w:w="6929" w:type="dxa"/>
          </w:tcPr>
          <w:p w:rsidR="000E7722" w:rsidRDefault="000E7722" w:rsidP="00754BD3">
            <w:pPr>
              <w:spacing w:after="120"/>
              <w:contextualSpacing/>
              <w:rPr>
                <w:rFonts w:eastAsia="Calibri" w:cs="Times New Roman"/>
                <w:u w:val="single"/>
              </w:rPr>
            </w:pPr>
            <w:bookmarkStart w:id="4" w:name="_Toc527708665"/>
            <w:r w:rsidRPr="007B64A1">
              <w:rPr>
                <w:rFonts w:eastAsia="Calibri" w:cs="Times New Roman"/>
                <w:u w:val="single"/>
              </w:rPr>
              <w:t>Internal Audit</w:t>
            </w:r>
            <w:bookmarkEnd w:id="4"/>
          </w:p>
          <w:p w:rsidR="000E7722" w:rsidRPr="00ED185F" w:rsidRDefault="000E7722" w:rsidP="00ED185F">
            <w:pPr>
              <w:pStyle w:val="ListParagraph"/>
              <w:numPr>
                <w:ilvl w:val="0"/>
                <w:numId w:val="10"/>
              </w:numPr>
              <w:spacing w:after="120"/>
              <w:rPr>
                <w:rFonts w:eastAsia="Calibri" w:cs="Times New Roman"/>
                <w:u w:val="single"/>
              </w:rPr>
            </w:pPr>
            <w:r w:rsidRPr="007B64A1">
              <w:rPr>
                <w:rFonts w:eastAsia="Calibri" w:cs="Times New Roman"/>
              </w:rPr>
              <w:t>Investigators who are formally qualified in Government Investigation and Government Fraud Control.</w:t>
            </w:r>
          </w:p>
          <w:p w:rsidR="000E7722" w:rsidRPr="00ED185F" w:rsidRDefault="000E7722" w:rsidP="0002365E">
            <w:pPr>
              <w:pStyle w:val="ListParagraph"/>
              <w:numPr>
                <w:ilvl w:val="0"/>
                <w:numId w:val="10"/>
              </w:numPr>
              <w:spacing w:after="120"/>
              <w:rPr>
                <w:rFonts w:eastAsia="Calibri" w:cs="Times New Roman"/>
                <w:u w:val="single"/>
              </w:rPr>
            </w:pPr>
            <w:r w:rsidRPr="007B64A1">
              <w:rPr>
                <w:rFonts w:eastAsia="Calibri" w:cs="Times New Roman"/>
              </w:rPr>
              <w:t>Internal auditors must consider potential fraud risk and have sufficient knowledge to evaluate the risk of fraud and the manner in which this is managed by the organisation.</w:t>
            </w:r>
          </w:p>
        </w:tc>
        <w:tc>
          <w:tcPr>
            <w:tcW w:w="6929" w:type="dxa"/>
          </w:tcPr>
          <w:p w:rsidR="000E7722" w:rsidRDefault="000E7722" w:rsidP="00627242"/>
        </w:tc>
      </w:tr>
      <w:tr w:rsidR="000E7722" w:rsidTr="005B1517">
        <w:tc>
          <w:tcPr>
            <w:tcW w:w="6929" w:type="dxa"/>
          </w:tcPr>
          <w:p w:rsidR="000E7722" w:rsidRDefault="000E7722" w:rsidP="00ED185F">
            <w:pPr>
              <w:spacing w:after="120"/>
              <w:contextualSpacing/>
              <w:rPr>
                <w:rFonts w:eastAsia="Calibri" w:cs="Times New Roman"/>
                <w:u w:val="single"/>
              </w:rPr>
            </w:pPr>
            <w:bookmarkStart w:id="5" w:name="_Toc527708666"/>
            <w:r w:rsidRPr="007B64A1">
              <w:rPr>
                <w:rFonts w:eastAsia="Calibri" w:cs="Times New Roman"/>
                <w:u w:val="single"/>
              </w:rPr>
              <w:t>Audit and Risk Committee</w:t>
            </w:r>
            <w:bookmarkEnd w:id="5"/>
            <w:r w:rsidRPr="007B64A1">
              <w:rPr>
                <w:rFonts w:eastAsia="Calibri" w:cs="Times New Roman"/>
                <w:u w:val="single"/>
              </w:rPr>
              <w:t xml:space="preserve"> </w:t>
            </w:r>
          </w:p>
          <w:p w:rsidR="000E7722" w:rsidRPr="00ED185F" w:rsidRDefault="000E7722" w:rsidP="00754BD3">
            <w:pPr>
              <w:pStyle w:val="ListParagraph"/>
              <w:numPr>
                <w:ilvl w:val="0"/>
                <w:numId w:val="11"/>
              </w:numPr>
              <w:spacing w:after="120"/>
              <w:rPr>
                <w:rFonts w:eastAsia="Calibri" w:cs="Times New Roman"/>
              </w:rPr>
            </w:pPr>
            <w:r w:rsidRPr="00ED185F">
              <w:rPr>
                <w:rFonts w:eastAsia="Calibri" w:cs="Times New Roman"/>
              </w:rPr>
              <w:t xml:space="preserve">The </w:t>
            </w:r>
            <w:r w:rsidRPr="007B64A1">
              <w:rPr>
                <w:rFonts w:eastAsia="Calibri" w:cs="Times New Roman"/>
              </w:rPr>
              <w:t xml:space="preserve">Audit and Risk Committee is responsible for undertaking regular Fraud and Corruption Risk </w:t>
            </w:r>
            <w:r w:rsidRPr="007B64A1">
              <w:rPr>
                <w:rFonts w:eastAsia="Calibri" w:cs="Times New Roman"/>
              </w:rPr>
              <w:lastRenderedPageBreak/>
              <w:t>Assessments and Resistance Health Checks.</w:t>
            </w:r>
          </w:p>
        </w:tc>
        <w:tc>
          <w:tcPr>
            <w:tcW w:w="6929" w:type="dxa"/>
          </w:tcPr>
          <w:p w:rsidR="000E7722" w:rsidRDefault="000E7722" w:rsidP="00627242"/>
        </w:tc>
      </w:tr>
      <w:tr w:rsidR="000E7722" w:rsidTr="005B1517">
        <w:tc>
          <w:tcPr>
            <w:tcW w:w="6929" w:type="dxa"/>
          </w:tcPr>
          <w:p w:rsidR="000E7722" w:rsidRPr="007B64A1" w:rsidRDefault="000E7722" w:rsidP="00B6724D">
            <w:pPr>
              <w:spacing w:after="120"/>
              <w:contextualSpacing/>
              <w:rPr>
                <w:rFonts w:eastAsia="Calibri" w:cs="Times New Roman"/>
                <w:u w:val="single"/>
              </w:rPr>
            </w:pPr>
            <w:bookmarkStart w:id="6" w:name="_Toc527708667"/>
            <w:r w:rsidRPr="007B64A1">
              <w:rPr>
                <w:rFonts w:eastAsia="Calibri" w:cs="Times New Roman"/>
                <w:u w:val="single"/>
              </w:rPr>
              <w:lastRenderedPageBreak/>
              <w:t>Human Resources and Industrial Relations</w:t>
            </w:r>
            <w:bookmarkEnd w:id="6"/>
          </w:p>
          <w:p w:rsidR="000E7722" w:rsidRPr="00B6724D" w:rsidRDefault="000E7722" w:rsidP="00B6724D">
            <w:pPr>
              <w:pStyle w:val="ListParagraph"/>
              <w:numPr>
                <w:ilvl w:val="0"/>
                <w:numId w:val="11"/>
              </w:numPr>
              <w:spacing w:after="120"/>
              <w:rPr>
                <w:rFonts w:eastAsia="Calibri" w:cs="Times New Roman"/>
                <w:u w:val="single"/>
              </w:rPr>
            </w:pPr>
            <w:r>
              <w:rPr>
                <w:rFonts w:eastAsia="Calibri" w:cs="Times New Roman"/>
              </w:rPr>
              <w:t>U</w:t>
            </w:r>
            <w:r w:rsidRPr="007B64A1">
              <w:rPr>
                <w:rFonts w:eastAsia="Calibri" w:cs="Times New Roman"/>
              </w:rPr>
              <w:t>ndertake a key role in the supporting discipline processes and fraud and corruption awareness/education programs</w:t>
            </w:r>
          </w:p>
        </w:tc>
        <w:tc>
          <w:tcPr>
            <w:tcW w:w="6929" w:type="dxa"/>
          </w:tcPr>
          <w:p w:rsidR="000E7722" w:rsidRDefault="000E7722" w:rsidP="00627242"/>
        </w:tc>
      </w:tr>
      <w:bookmarkEnd w:id="0"/>
    </w:tbl>
    <w:p w:rsidR="007B64A1" w:rsidRDefault="007B64A1" w:rsidP="007B64A1">
      <w:pPr>
        <w:pStyle w:val="ListParagraph"/>
        <w:ind w:left="396"/>
      </w:pPr>
    </w:p>
    <w:p w:rsidR="000E6F99" w:rsidRPr="006D1F60" w:rsidRDefault="000E6F99" w:rsidP="000E6F99">
      <w:pPr>
        <w:pStyle w:val="Heading2"/>
        <w:numPr>
          <w:ilvl w:val="0"/>
          <w:numId w:val="5"/>
        </w:numPr>
        <w:rPr>
          <w:color w:val="005B38"/>
        </w:rPr>
      </w:pPr>
      <w:r w:rsidRPr="006D1F60">
        <w:rPr>
          <w:color w:val="005B38"/>
        </w:rPr>
        <w:t>Planning and Resourcing</w:t>
      </w:r>
    </w:p>
    <w:tbl>
      <w:tblPr>
        <w:tblStyle w:val="TableGrid"/>
        <w:tblW w:w="0" w:type="auto"/>
        <w:tblLook w:val="04A0" w:firstRow="1" w:lastRow="0" w:firstColumn="1" w:lastColumn="0" w:noHBand="0" w:noVBand="1"/>
      </w:tblPr>
      <w:tblGrid>
        <w:gridCol w:w="6912"/>
        <w:gridCol w:w="6946"/>
      </w:tblGrid>
      <w:tr w:rsidR="000E7722" w:rsidTr="005B1517">
        <w:trPr>
          <w:tblHeader/>
        </w:trPr>
        <w:tc>
          <w:tcPr>
            <w:tcW w:w="6912" w:type="dxa"/>
          </w:tcPr>
          <w:p w:rsidR="000E7722" w:rsidRDefault="000E7722" w:rsidP="000E6F99">
            <w:pPr>
              <w:pStyle w:val="ListParagraph"/>
              <w:ind w:left="396"/>
            </w:pPr>
          </w:p>
        </w:tc>
        <w:tc>
          <w:tcPr>
            <w:tcW w:w="6946" w:type="dxa"/>
          </w:tcPr>
          <w:p w:rsidR="000E7722" w:rsidRDefault="000E7722" w:rsidP="001A5BA4">
            <w:r>
              <w:t>Examples</w:t>
            </w:r>
          </w:p>
        </w:tc>
      </w:tr>
      <w:tr w:rsidR="000E7722" w:rsidTr="005B1517">
        <w:tc>
          <w:tcPr>
            <w:tcW w:w="6912" w:type="dxa"/>
          </w:tcPr>
          <w:p w:rsidR="000E7722" w:rsidRDefault="000E7722" w:rsidP="0094249E">
            <w:pPr>
              <w:pStyle w:val="ListParagraph"/>
              <w:numPr>
                <w:ilvl w:val="1"/>
                <w:numId w:val="5"/>
              </w:numPr>
            </w:pPr>
            <w:r>
              <w:t xml:space="preserve">Program for fraud </w:t>
            </w:r>
            <w:r w:rsidR="0002365E">
              <w:t xml:space="preserve">and </w:t>
            </w:r>
            <w:r w:rsidR="0094249E">
              <w:t>c</w:t>
            </w:r>
            <w:r w:rsidR="0002365E">
              <w:t xml:space="preserve">orruption </w:t>
            </w:r>
            <w:r>
              <w:t>control planning and review</w:t>
            </w:r>
          </w:p>
        </w:tc>
        <w:tc>
          <w:tcPr>
            <w:tcW w:w="6946" w:type="dxa"/>
          </w:tcPr>
          <w:p w:rsidR="000E7722" w:rsidRDefault="000E7722" w:rsidP="001F6030"/>
        </w:tc>
      </w:tr>
      <w:tr w:rsidR="000E7722" w:rsidTr="005B1517">
        <w:tc>
          <w:tcPr>
            <w:tcW w:w="6912" w:type="dxa"/>
          </w:tcPr>
          <w:p w:rsidR="000E7722" w:rsidRDefault="000E7722" w:rsidP="0094249E">
            <w:pPr>
              <w:pStyle w:val="ListParagraph"/>
              <w:numPr>
                <w:ilvl w:val="1"/>
                <w:numId w:val="5"/>
              </w:numPr>
            </w:pPr>
            <w:r>
              <w:t xml:space="preserve">Appointment of dedicated fraud </w:t>
            </w:r>
            <w:r w:rsidR="0002365E">
              <w:t xml:space="preserve">and </w:t>
            </w:r>
            <w:r w:rsidR="0094249E">
              <w:t>c</w:t>
            </w:r>
            <w:r w:rsidR="0002365E">
              <w:t xml:space="preserve">orruption </w:t>
            </w:r>
            <w:r>
              <w:t>control resources</w:t>
            </w:r>
          </w:p>
        </w:tc>
        <w:tc>
          <w:tcPr>
            <w:tcW w:w="6946" w:type="dxa"/>
          </w:tcPr>
          <w:p w:rsidR="000E7722" w:rsidRDefault="000E7722" w:rsidP="001F6030"/>
        </w:tc>
      </w:tr>
      <w:tr w:rsidR="000E7722" w:rsidTr="005B1517">
        <w:tc>
          <w:tcPr>
            <w:tcW w:w="6912" w:type="dxa"/>
          </w:tcPr>
          <w:p w:rsidR="000E7722" w:rsidRDefault="000E7722" w:rsidP="000E6F99">
            <w:pPr>
              <w:pStyle w:val="ListParagraph"/>
              <w:numPr>
                <w:ilvl w:val="1"/>
                <w:numId w:val="5"/>
              </w:numPr>
            </w:pPr>
            <w:r>
              <w:t>External assistance</w:t>
            </w:r>
          </w:p>
        </w:tc>
        <w:tc>
          <w:tcPr>
            <w:tcW w:w="6946" w:type="dxa"/>
          </w:tcPr>
          <w:p w:rsidR="000E7722" w:rsidRDefault="000E7722" w:rsidP="001F6030"/>
        </w:tc>
      </w:tr>
      <w:tr w:rsidR="000E7722" w:rsidTr="005B1517">
        <w:tc>
          <w:tcPr>
            <w:tcW w:w="6912" w:type="dxa"/>
          </w:tcPr>
          <w:p w:rsidR="000E7722" w:rsidRDefault="000E7722" w:rsidP="000E6F99">
            <w:pPr>
              <w:pStyle w:val="ListParagraph"/>
              <w:numPr>
                <w:ilvl w:val="1"/>
                <w:numId w:val="5"/>
              </w:numPr>
            </w:pPr>
            <w:r>
              <w:t xml:space="preserve">Fraud </w:t>
            </w:r>
            <w:r w:rsidR="0002365E">
              <w:t xml:space="preserve">and </w:t>
            </w:r>
            <w:r w:rsidR="0094249E">
              <w:t>c</w:t>
            </w:r>
            <w:r w:rsidR="0002365E">
              <w:t xml:space="preserve">orruption </w:t>
            </w:r>
            <w:r>
              <w:t xml:space="preserve">control responsibilities </w:t>
            </w:r>
          </w:p>
        </w:tc>
        <w:tc>
          <w:tcPr>
            <w:tcW w:w="6946" w:type="dxa"/>
          </w:tcPr>
          <w:p w:rsidR="000E7722" w:rsidRDefault="000E7722" w:rsidP="001F6030"/>
        </w:tc>
      </w:tr>
      <w:tr w:rsidR="000E7722" w:rsidTr="005B1517">
        <w:tc>
          <w:tcPr>
            <w:tcW w:w="6912" w:type="dxa"/>
          </w:tcPr>
          <w:p w:rsidR="000E7722" w:rsidRDefault="000E7722" w:rsidP="000E6F99">
            <w:pPr>
              <w:pStyle w:val="ListParagraph"/>
              <w:numPr>
                <w:ilvl w:val="1"/>
                <w:numId w:val="5"/>
              </w:numPr>
            </w:pPr>
            <w:r>
              <w:t xml:space="preserve">Internal audit activity in fraud and corruption control </w:t>
            </w:r>
          </w:p>
        </w:tc>
        <w:tc>
          <w:tcPr>
            <w:tcW w:w="6946" w:type="dxa"/>
          </w:tcPr>
          <w:p w:rsidR="000E7722" w:rsidRDefault="000E7722" w:rsidP="001F6030"/>
        </w:tc>
      </w:tr>
    </w:tbl>
    <w:p w:rsidR="001A5BA4" w:rsidRDefault="001A5BA4" w:rsidP="001A5BA4"/>
    <w:p w:rsidR="007B64A1" w:rsidRPr="006D1F60" w:rsidRDefault="000E6F99" w:rsidP="000E6F99">
      <w:pPr>
        <w:pStyle w:val="Heading2"/>
        <w:numPr>
          <w:ilvl w:val="0"/>
          <w:numId w:val="5"/>
        </w:numPr>
        <w:rPr>
          <w:color w:val="005B38"/>
        </w:rPr>
      </w:pPr>
      <w:r w:rsidRPr="006D1F60">
        <w:rPr>
          <w:color w:val="005B38"/>
        </w:rPr>
        <w:t xml:space="preserve">Fraud and Corruption Prevention </w:t>
      </w:r>
    </w:p>
    <w:tbl>
      <w:tblPr>
        <w:tblStyle w:val="TableGrid"/>
        <w:tblW w:w="0" w:type="auto"/>
        <w:tblLook w:val="04A0" w:firstRow="1" w:lastRow="0" w:firstColumn="1" w:lastColumn="0" w:noHBand="0" w:noVBand="1"/>
      </w:tblPr>
      <w:tblGrid>
        <w:gridCol w:w="6912"/>
        <w:gridCol w:w="6946"/>
      </w:tblGrid>
      <w:tr w:rsidR="000E7722" w:rsidTr="005B1517">
        <w:trPr>
          <w:tblHeader/>
        </w:trPr>
        <w:tc>
          <w:tcPr>
            <w:tcW w:w="6912" w:type="dxa"/>
          </w:tcPr>
          <w:p w:rsidR="000E7722" w:rsidRDefault="000E7722" w:rsidP="00627242">
            <w:pPr>
              <w:pStyle w:val="ListParagraph"/>
              <w:ind w:left="396"/>
            </w:pPr>
          </w:p>
        </w:tc>
        <w:tc>
          <w:tcPr>
            <w:tcW w:w="6946" w:type="dxa"/>
          </w:tcPr>
          <w:p w:rsidR="000E7722" w:rsidRDefault="000E7722" w:rsidP="00627242">
            <w:r>
              <w:t>Examples</w:t>
            </w:r>
          </w:p>
        </w:tc>
      </w:tr>
      <w:tr w:rsidR="000E7722" w:rsidTr="005B1517">
        <w:tc>
          <w:tcPr>
            <w:tcW w:w="6912" w:type="dxa"/>
          </w:tcPr>
          <w:p w:rsidR="000E7722" w:rsidRDefault="000E7722" w:rsidP="00627242">
            <w:pPr>
              <w:pStyle w:val="ListParagraph"/>
              <w:numPr>
                <w:ilvl w:val="1"/>
                <w:numId w:val="5"/>
              </w:numPr>
            </w:pPr>
            <w:r>
              <w:t xml:space="preserve">Implementing and maintaining an integrity framework </w:t>
            </w:r>
          </w:p>
        </w:tc>
        <w:tc>
          <w:tcPr>
            <w:tcW w:w="6946" w:type="dxa"/>
          </w:tcPr>
          <w:p w:rsidR="000E7722" w:rsidRDefault="000E7722" w:rsidP="00627242"/>
        </w:tc>
      </w:tr>
      <w:tr w:rsidR="000E7722" w:rsidTr="005B1517">
        <w:tc>
          <w:tcPr>
            <w:tcW w:w="6912" w:type="dxa"/>
          </w:tcPr>
          <w:p w:rsidR="000E7722" w:rsidRDefault="000E7722" w:rsidP="00627242">
            <w:pPr>
              <w:pStyle w:val="ListParagraph"/>
              <w:numPr>
                <w:ilvl w:val="1"/>
                <w:numId w:val="5"/>
              </w:numPr>
            </w:pPr>
            <w:r>
              <w:t xml:space="preserve">Ensuring senior management commitment to controlling </w:t>
            </w:r>
            <w:r w:rsidR="0002365E">
              <w:t xml:space="preserve">the </w:t>
            </w:r>
            <w:r>
              <w:t>risk of fraud and corruption</w:t>
            </w:r>
          </w:p>
        </w:tc>
        <w:tc>
          <w:tcPr>
            <w:tcW w:w="6946" w:type="dxa"/>
          </w:tcPr>
          <w:p w:rsidR="000E7722" w:rsidRDefault="000E7722" w:rsidP="00627242"/>
        </w:tc>
      </w:tr>
      <w:tr w:rsidR="000E7722" w:rsidTr="005B1517">
        <w:tc>
          <w:tcPr>
            <w:tcW w:w="6912" w:type="dxa"/>
          </w:tcPr>
          <w:p w:rsidR="000E7722" w:rsidRDefault="000E7722" w:rsidP="00627242">
            <w:pPr>
              <w:pStyle w:val="ListParagraph"/>
              <w:numPr>
                <w:ilvl w:val="1"/>
                <w:numId w:val="5"/>
              </w:numPr>
            </w:pPr>
            <w:r>
              <w:lastRenderedPageBreak/>
              <w:t>Line management accountability for controlling fraud and corruption within their business unit</w:t>
            </w:r>
          </w:p>
        </w:tc>
        <w:tc>
          <w:tcPr>
            <w:tcW w:w="6946" w:type="dxa"/>
          </w:tcPr>
          <w:p w:rsidR="000E7722" w:rsidRDefault="000E7722" w:rsidP="00627242"/>
        </w:tc>
      </w:tr>
      <w:tr w:rsidR="000E7722" w:rsidTr="005B1517">
        <w:tc>
          <w:tcPr>
            <w:tcW w:w="6912" w:type="dxa"/>
          </w:tcPr>
          <w:p w:rsidR="000E7722" w:rsidRDefault="000E7722" w:rsidP="001A5BA4">
            <w:pPr>
              <w:pStyle w:val="ListParagraph"/>
              <w:numPr>
                <w:ilvl w:val="1"/>
                <w:numId w:val="5"/>
              </w:numPr>
            </w:pPr>
            <w:r>
              <w:t xml:space="preserve">Maintaining a strong internal control system and internal control culture </w:t>
            </w:r>
          </w:p>
        </w:tc>
        <w:tc>
          <w:tcPr>
            <w:tcW w:w="6946" w:type="dxa"/>
          </w:tcPr>
          <w:p w:rsidR="000E7722" w:rsidRDefault="000E7722" w:rsidP="00627242"/>
        </w:tc>
      </w:tr>
      <w:tr w:rsidR="000E7722" w:rsidTr="005B1517">
        <w:tc>
          <w:tcPr>
            <w:tcW w:w="6912" w:type="dxa"/>
          </w:tcPr>
          <w:p w:rsidR="000E7722" w:rsidRDefault="000E7722" w:rsidP="00627242">
            <w:pPr>
              <w:pStyle w:val="ListParagraph"/>
              <w:numPr>
                <w:ilvl w:val="1"/>
                <w:numId w:val="5"/>
              </w:numPr>
            </w:pPr>
            <w:r>
              <w:t xml:space="preserve">Fraud and corruption risk assessment </w:t>
            </w:r>
          </w:p>
        </w:tc>
        <w:tc>
          <w:tcPr>
            <w:tcW w:w="6946" w:type="dxa"/>
          </w:tcPr>
          <w:p w:rsidR="000E7722" w:rsidRDefault="000E7722" w:rsidP="00627242"/>
        </w:tc>
      </w:tr>
      <w:tr w:rsidR="000E7722" w:rsidTr="005B1517">
        <w:tc>
          <w:tcPr>
            <w:tcW w:w="6912" w:type="dxa"/>
          </w:tcPr>
          <w:p w:rsidR="000E7722" w:rsidRDefault="000E7722" w:rsidP="00627242">
            <w:pPr>
              <w:pStyle w:val="ListParagraph"/>
              <w:numPr>
                <w:ilvl w:val="1"/>
                <w:numId w:val="5"/>
              </w:numPr>
            </w:pPr>
            <w:r>
              <w:t>Communication and awareness of fraud and corruption</w:t>
            </w:r>
          </w:p>
        </w:tc>
        <w:tc>
          <w:tcPr>
            <w:tcW w:w="6946" w:type="dxa"/>
          </w:tcPr>
          <w:p w:rsidR="000E7722" w:rsidRDefault="000E7722" w:rsidP="00627242"/>
        </w:tc>
      </w:tr>
      <w:tr w:rsidR="000E7722" w:rsidTr="005B1517">
        <w:tc>
          <w:tcPr>
            <w:tcW w:w="6912" w:type="dxa"/>
          </w:tcPr>
          <w:p w:rsidR="000E7722" w:rsidRDefault="000E7722" w:rsidP="00627242">
            <w:pPr>
              <w:pStyle w:val="ListParagraph"/>
              <w:numPr>
                <w:ilvl w:val="1"/>
                <w:numId w:val="5"/>
              </w:numPr>
            </w:pPr>
            <w:r>
              <w:t>Employment screening (pre-employment and internal promotion or transfer)</w:t>
            </w:r>
          </w:p>
        </w:tc>
        <w:tc>
          <w:tcPr>
            <w:tcW w:w="6946" w:type="dxa"/>
          </w:tcPr>
          <w:p w:rsidR="000E7722" w:rsidRDefault="000E7722" w:rsidP="00627242"/>
        </w:tc>
      </w:tr>
      <w:tr w:rsidR="000E7722" w:rsidTr="005B1517">
        <w:tc>
          <w:tcPr>
            <w:tcW w:w="6912" w:type="dxa"/>
          </w:tcPr>
          <w:p w:rsidR="000E7722" w:rsidRDefault="000E7722" w:rsidP="0002365E">
            <w:pPr>
              <w:pStyle w:val="ListParagraph"/>
              <w:numPr>
                <w:ilvl w:val="1"/>
                <w:numId w:val="5"/>
              </w:numPr>
            </w:pPr>
            <w:r>
              <w:t xml:space="preserve">Policy </w:t>
            </w:r>
            <w:r w:rsidR="00AA5467">
              <w:t xml:space="preserve">for </w:t>
            </w:r>
            <w:r w:rsidR="0002365E">
              <w:t>managing</w:t>
            </w:r>
            <w:r>
              <w:t xml:space="preserve"> leave and job rotation</w:t>
            </w:r>
          </w:p>
        </w:tc>
        <w:tc>
          <w:tcPr>
            <w:tcW w:w="6946" w:type="dxa"/>
          </w:tcPr>
          <w:p w:rsidR="00AA5467" w:rsidRDefault="00AA5467" w:rsidP="00627242">
            <w:pPr>
              <w:rPr>
                <w:color w:val="A6A6A6" w:themeColor="background1" w:themeShade="A6"/>
              </w:rPr>
            </w:pPr>
            <w:r>
              <w:rPr>
                <w:color w:val="A6A6A6" w:themeColor="background1" w:themeShade="A6"/>
              </w:rPr>
              <w:t xml:space="preserve">May need to be evidenced by </w:t>
            </w:r>
          </w:p>
          <w:p w:rsidR="000E7722" w:rsidRPr="00AA5467" w:rsidRDefault="00AA5467" w:rsidP="00AA5467">
            <w:pPr>
              <w:pStyle w:val="ListParagraph"/>
              <w:numPr>
                <w:ilvl w:val="0"/>
                <w:numId w:val="12"/>
              </w:numPr>
            </w:pPr>
            <w:r w:rsidRPr="00AA5467">
              <w:rPr>
                <w:color w:val="A6A6A6" w:themeColor="background1" w:themeShade="A6"/>
              </w:rPr>
              <w:t>Adherence to System-wide management of leave and relevant industrial instrument to manage leave</w:t>
            </w:r>
          </w:p>
          <w:p w:rsidR="00AA5467" w:rsidRDefault="00AA5467" w:rsidP="00AA5467">
            <w:pPr>
              <w:pStyle w:val="ListParagraph"/>
              <w:numPr>
                <w:ilvl w:val="0"/>
                <w:numId w:val="12"/>
              </w:numPr>
            </w:pPr>
            <w:r>
              <w:rPr>
                <w:color w:val="A6A6A6" w:themeColor="background1" w:themeShade="A6"/>
              </w:rPr>
              <w:t>Leave management reports</w:t>
            </w:r>
          </w:p>
        </w:tc>
      </w:tr>
      <w:tr w:rsidR="000E7722" w:rsidTr="005B1517">
        <w:tc>
          <w:tcPr>
            <w:tcW w:w="6912" w:type="dxa"/>
          </w:tcPr>
          <w:p w:rsidR="000E7722" w:rsidRDefault="000E7722" w:rsidP="00627242">
            <w:pPr>
              <w:pStyle w:val="ListParagraph"/>
              <w:numPr>
                <w:ilvl w:val="1"/>
                <w:numId w:val="5"/>
              </w:numPr>
            </w:pPr>
            <w:r>
              <w:t>Supplier and customer vetting</w:t>
            </w:r>
          </w:p>
        </w:tc>
        <w:tc>
          <w:tcPr>
            <w:tcW w:w="6946" w:type="dxa"/>
          </w:tcPr>
          <w:p w:rsidR="000E7722" w:rsidRDefault="000E7722" w:rsidP="00627242"/>
        </w:tc>
      </w:tr>
      <w:tr w:rsidR="000E7722" w:rsidTr="005B1517">
        <w:tc>
          <w:tcPr>
            <w:tcW w:w="6912" w:type="dxa"/>
          </w:tcPr>
          <w:p w:rsidR="000E7722" w:rsidRDefault="000E7722" w:rsidP="001A5BA4">
            <w:pPr>
              <w:pStyle w:val="ListParagraph"/>
              <w:numPr>
                <w:ilvl w:val="1"/>
                <w:numId w:val="5"/>
              </w:numPr>
            </w:pPr>
            <w:r>
              <w:t>Specific initiatives aimed at controlling the risk of corruption</w:t>
            </w:r>
          </w:p>
        </w:tc>
        <w:tc>
          <w:tcPr>
            <w:tcW w:w="6946" w:type="dxa"/>
          </w:tcPr>
          <w:p w:rsidR="000E7722" w:rsidRDefault="000E7722" w:rsidP="00627242"/>
        </w:tc>
      </w:tr>
    </w:tbl>
    <w:p w:rsidR="000E6F99" w:rsidRDefault="000E6F99" w:rsidP="000E6F99"/>
    <w:p w:rsidR="001A5BA4" w:rsidRPr="006D1F60" w:rsidRDefault="001A5BA4" w:rsidP="001A5BA4">
      <w:pPr>
        <w:pStyle w:val="Heading2"/>
        <w:numPr>
          <w:ilvl w:val="0"/>
          <w:numId w:val="5"/>
        </w:numPr>
        <w:rPr>
          <w:color w:val="005B38"/>
        </w:rPr>
      </w:pPr>
      <w:r w:rsidRPr="006D1F60">
        <w:rPr>
          <w:color w:val="005B38"/>
        </w:rPr>
        <w:t>Fraud and Corruption Detection</w:t>
      </w:r>
    </w:p>
    <w:tbl>
      <w:tblPr>
        <w:tblStyle w:val="TableGrid"/>
        <w:tblW w:w="0" w:type="auto"/>
        <w:tblLook w:val="04A0" w:firstRow="1" w:lastRow="0" w:firstColumn="1" w:lastColumn="0" w:noHBand="0" w:noVBand="1"/>
      </w:tblPr>
      <w:tblGrid>
        <w:gridCol w:w="6912"/>
        <w:gridCol w:w="6946"/>
      </w:tblGrid>
      <w:tr w:rsidR="000E7722" w:rsidTr="005B1517">
        <w:trPr>
          <w:tblHeader/>
        </w:trPr>
        <w:tc>
          <w:tcPr>
            <w:tcW w:w="6912" w:type="dxa"/>
          </w:tcPr>
          <w:p w:rsidR="000E7722" w:rsidRDefault="000E7722" w:rsidP="00627242">
            <w:pPr>
              <w:pStyle w:val="ListParagraph"/>
              <w:ind w:left="396"/>
            </w:pPr>
          </w:p>
        </w:tc>
        <w:tc>
          <w:tcPr>
            <w:tcW w:w="6946" w:type="dxa"/>
          </w:tcPr>
          <w:p w:rsidR="000E7722" w:rsidRDefault="000E7722" w:rsidP="00627242">
            <w:r>
              <w:t>Examples</w:t>
            </w:r>
          </w:p>
        </w:tc>
      </w:tr>
      <w:tr w:rsidR="000E7722" w:rsidTr="005B1517">
        <w:tc>
          <w:tcPr>
            <w:tcW w:w="6912" w:type="dxa"/>
          </w:tcPr>
          <w:p w:rsidR="000E7722" w:rsidRDefault="000E7722" w:rsidP="00627242">
            <w:pPr>
              <w:pStyle w:val="ListParagraph"/>
              <w:numPr>
                <w:ilvl w:val="1"/>
                <w:numId w:val="5"/>
              </w:numPr>
            </w:pPr>
            <w:r>
              <w:t>Fraud and corruption detection program</w:t>
            </w:r>
          </w:p>
        </w:tc>
        <w:tc>
          <w:tcPr>
            <w:tcW w:w="6946" w:type="dxa"/>
          </w:tcPr>
          <w:p w:rsidR="000E7722" w:rsidRDefault="000E7722" w:rsidP="00627242"/>
        </w:tc>
      </w:tr>
      <w:tr w:rsidR="000E7722" w:rsidTr="005B1517">
        <w:tc>
          <w:tcPr>
            <w:tcW w:w="6912" w:type="dxa"/>
          </w:tcPr>
          <w:p w:rsidR="000E7722" w:rsidRDefault="000E7722" w:rsidP="0094249E">
            <w:pPr>
              <w:pStyle w:val="ListParagraph"/>
              <w:numPr>
                <w:ilvl w:val="1"/>
                <w:numId w:val="5"/>
              </w:numPr>
            </w:pPr>
            <w:r>
              <w:t>Defining the external auditor’s role in the detection of fraud</w:t>
            </w:r>
            <w:r w:rsidR="00FA78F5">
              <w:t xml:space="preserve"> and </w:t>
            </w:r>
            <w:r w:rsidR="0094249E">
              <w:t>c</w:t>
            </w:r>
            <w:r w:rsidR="00FA78F5">
              <w:t>orruption</w:t>
            </w:r>
          </w:p>
        </w:tc>
        <w:tc>
          <w:tcPr>
            <w:tcW w:w="6946" w:type="dxa"/>
          </w:tcPr>
          <w:p w:rsidR="000E7722" w:rsidRDefault="000E7722" w:rsidP="00627242"/>
        </w:tc>
      </w:tr>
      <w:tr w:rsidR="000E7722" w:rsidTr="005B1517">
        <w:tc>
          <w:tcPr>
            <w:tcW w:w="6912" w:type="dxa"/>
          </w:tcPr>
          <w:p w:rsidR="000E7722" w:rsidRDefault="000E7722" w:rsidP="00627242">
            <w:pPr>
              <w:pStyle w:val="ListParagraph"/>
              <w:numPr>
                <w:ilvl w:val="1"/>
                <w:numId w:val="5"/>
              </w:numPr>
            </w:pPr>
            <w:r>
              <w:lastRenderedPageBreak/>
              <w:t>Mechanisms for reporting suspected fraud and corruption incidents</w:t>
            </w:r>
          </w:p>
        </w:tc>
        <w:tc>
          <w:tcPr>
            <w:tcW w:w="6946" w:type="dxa"/>
          </w:tcPr>
          <w:p w:rsidR="000E7722" w:rsidRDefault="000E7722" w:rsidP="00627242"/>
        </w:tc>
      </w:tr>
      <w:tr w:rsidR="000E7722" w:rsidTr="005B1517">
        <w:tc>
          <w:tcPr>
            <w:tcW w:w="6912" w:type="dxa"/>
          </w:tcPr>
          <w:p w:rsidR="000E7722" w:rsidRDefault="000E7722" w:rsidP="00627242">
            <w:pPr>
              <w:pStyle w:val="ListParagraph"/>
              <w:numPr>
                <w:ilvl w:val="1"/>
                <w:numId w:val="5"/>
              </w:numPr>
            </w:pPr>
            <w:r>
              <w:t xml:space="preserve">Implementing PID Act </w:t>
            </w:r>
          </w:p>
        </w:tc>
        <w:tc>
          <w:tcPr>
            <w:tcW w:w="6946" w:type="dxa"/>
          </w:tcPr>
          <w:p w:rsidR="000E7722" w:rsidRDefault="000E7722" w:rsidP="00627242"/>
        </w:tc>
      </w:tr>
    </w:tbl>
    <w:p w:rsidR="001A5BA4" w:rsidRDefault="001A5BA4" w:rsidP="001A5BA4"/>
    <w:p w:rsidR="00445521" w:rsidRPr="006D1F60" w:rsidRDefault="00445521" w:rsidP="00445521">
      <w:pPr>
        <w:pStyle w:val="Heading2"/>
        <w:numPr>
          <w:ilvl w:val="0"/>
          <w:numId w:val="5"/>
        </w:numPr>
        <w:rPr>
          <w:color w:val="005B38"/>
        </w:rPr>
      </w:pPr>
      <w:r w:rsidRPr="006D1F60">
        <w:rPr>
          <w:color w:val="005B38"/>
        </w:rPr>
        <w:t>Responding to Detected Fraud and Corruption Incidents</w:t>
      </w:r>
    </w:p>
    <w:tbl>
      <w:tblPr>
        <w:tblStyle w:val="TableGrid"/>
        <w:tblW w:w="0" w:type="auto"/>
        <w:tblLook w:val="04A0" w:firstRow="1" w:lastRow="0" w:firstColumn="1" w:lastColumn="0" w:noHBand="0" w:noVBand="1"/>
      </w:tblPr>
      <w:tblGrid>
        <w:gridCol w:w="6912"/>
        <w:gridCol w:w="6946"/>
      </w:tblGrid>
      <w:tr w:rsidR="000E7722" w:rsidRPr="00445521" w:rsidTr="005B1517">
        <w:trPr>
          <w:tblHeader/>
        </w:trPr>
        <w:tc>
          <w:tcPr>
            <w:tcW w:w="6912" w:type="dxa"/>
          </w:tcPr>
          <w:p w:rsidR="000E7722" w:rsidRPr="00445521" w:rsidRDefault="000E7722" w:rsidP="00445521"/>
        </w:tc>
        <w:tc>
          <w:tcPr>
            <w:tcW w:w="6946" w:type="dxa"/>
          </w:tcPr>
          <w:p w:rsidR="000E7722" w:rsidRPr="00445521" w:rsidRDefault="000E7722" w:rsidP="00445521">
            <w:r>
              <w:t>Examples</w:t>
            </w:r>
          </w:p>
        </w:tc>
      </w:tr>
      <w:tr w:rsidR="000E7722" w:rsidRPr="00445521" w:rsidTr="005B1517">
        <w:tc>
          <w:tcPr>
            <w:tcW w:w="6912" w:type="dxa"/>
          </w:tcPr>
          <w:p w:rsidR="000E7722" w:rsidRPr="00445521" w:rsidRDefault="000E7722" w:rsidP="00445521">
            <w:pPr>
              <w:numPr>
                <w:ilvl w:val="1"/>
                <w:numId w:val="5"/>
              </w:numPr>
            </w:pPr>
            <w:r>
              <w:t>Procedures for the investigation of detected or suspected incidents</w:t>
            </w:r>
          </w:p>
        </w:tc>
        <w:tc>
          <w:tcPr>
            <w:tcW w:w="6946" w:type="dxa"/>
          </w:tcPr>
          <w:p w:rsidR="000E7722" w:rsidRPr="00445521" w:rsidRDefault="000E7722" w:rsidP="00445521"/>
        </w:tc>
      </w:tr>
      <w:tr w:rsidR="000E7722" w:rsidRPr="00445521" w:rsidTr="005B1517">
        <w:tc>
          <w:tcPr>
            <w:tcW w:w="6912" w:type="dxa"/>
          </w:tcPr>
          <w:p w:rsidR="000E7722" w:rsidRPr="00445521" w:rsidRDefault="000E7722" w:rsidP="00445521">
            <w:pPr>
              <w:numPr>
                <w:ilvl w:val="1"/>
                <w:numId w:val="5"/>
              </w:numPr>
            </w:pPr>
            <w:r>
              <w:t>Internal reporting and escalation</w:t>
            </w:r>
          </w:p>
        </w:tc>
        <w:tc>
          <w:tcPr>
            <w:tcW w:w="6946" w:type="dxa"/>
          </w:tcPr>
          <w:p w:rsidR="000E7722" w:rsidRPr="00445521" w:rsidRDefault="000E7722" w:rsidP="00445521"/>
        </w:tc>
      </w:tr>
      <w:tr w:rsidR="000E7722" w:rsidRPr="00445521" w:rsidTr="005B1517">
        <w:tc>
          <w:tcPr>
            <w:tcW w:w="6912" w:type="dxa"/>
          </w:tcPr>
          <w:p w:rsidR="000E7722" w:rsidRPr="00445521" w:rsidRDefault="000E7722" w:rsidP="00445521">
            <w:pPr>
              <w:numPr>
                <w:ilvl w:val="1"/>
                <w:numId w:val="5"/>
              </w:numPr>
            </w:pPr>
            <w:r>
              <w:t>Disciplinary procedures</w:t>
            </w:r>
          </w:p>
        </w:tc>
        <w:tc>
          <w:tcPr>
            <w:tcW w:w="6946" w:type="dxa"/>
          </w:tcPr>
          <w:p w:rsidR="000E7722" w:rsidRPr="00445521" w:rsidRDefault="000E7722" w:rsidP="00445521"/>
        </w:tc>
      </w:tr>
      <w:tr w:rsidR="000E7722" w:rsidRPr="00445521" w:rsidTr="005B1517">
        <w:tc>
          <w:tcPr>
            <w:tcW w:w="6912" w:type="dxa"/>
          </w:tcPr>
          <w:p w:rsidR="000E7722" w:rsidRPr="00445521" w:rsidRDefault="000E7722" w:rsidP="00445521">
            <w:pPr>
              <w:numPr>
                <w:ilvl w:val="1"/>
                <w:numId w:val="5"/>
              </w:numPr>
            </w:pPr>
            <w:r>
              <w:t>External reporting</w:t>
            </w:r>
            <w:r w:rsidRPr="00445521">
              <w:t xml:space="preserve"> </w:t>
            </w:r>
          </w:p>
        </w:tc>
        <w:tc>
          <w:tcPr>
            <w:tcW w:w="6946" w:type="dxa"/>
          </w:tcPr>
          <w:p w:rsidR="000E7722" w:rsidRPr="00445521" w:rsidRDefault="000E7722" w:rsidP="00445521"/>
        </w:tc>
      </w:tr>
      <w:tr w:rsidR="000E7722" w:rsidRPr="00445521" w:rsidTr="005B1517">
        <w:tc>
          <w:tcPr>
            <w:tcW w:w="6912" w:type="dxa"/>
          </w:tcPr>
          <w:p w:rsidR="000E7722" w:rsidRDefault="000E7722" w:rsidP="00445521">
            <w:pPr>
              <w:numPr>
                <w:ilvl w:val="1"/>
                <w:numId w:val="5"/>
              </w:numPr>
            </w:pPr>
            <w:r>
              <w:t xml:space="preserve">Policy </w:t>
            </w:r>
            <w:r w:rsidR="00197A76">
              <w:t xml:space="preserve">or processes </w:t>
            </w:r>
            <w:r>
              <w:t>for civil proceedings to recover the proceeds of fraud or corruption</w:t>
            </w:r>
          </w:p>
        </w:tc>
        <w:tc>
          <w:tcPr>
            <w:tcW w:w="6946" w:type="dxa"/>
          </w:tcPr>
          <w:p w:rsidR="000E7722" w:rsidRPr="00445521" w:rsidRDefault="000E7722" w:rsidP="00445521"/>
        </w:tc>
      </w:tr>
      <w:tr w:rsidR="000E7722" w:rsidRPr="00445521" w:rsidTr="005B1517">
        <w:tc>
          <w:tcPr>
            <w:tcW w:w="6912" w:type="dxa"/>
          </w:tcPr>
          <w:p w:rsidR="000E7722" w:rsidRDefault="000E7722" w:rsidP="00445521">
            <w:pPr>
              <w:numPr>
                <w:ilvl w:val="1"/>
                <w:numId w:val="5"/>
              </w:numPr>
            </w:pPr>
            <w:r>
              <w:t>Internal control review following the discovery of fraud</w:t>
            </w:r>
            <w:r w:rsidR="00FA78F5">
              <w:t xml:space="preserve"> or </w:t>
            </w:r>
            <w:r w:rsidR="0094249E">
              <w:t>c</w:t>
            </w:r>
            <w:r w:rsidR="00FA78F5">
              <w:t>orruption</w:t>
            </w:r>
          </w:p>
        </w:tc>
        <w:tc>
          <w:tcPr>
            <w:tcW w:w="6946" w:type="dxa"/>
          </w:tcPr>
          <w:p w:rsidR="000E7722" w:rsidRPr="00445521" w:rsidRDefault="000E7722" w:rsidP="00445521"/>
        </w:tc>
      </w:tr>
      <w:tr w:rsidR="000E7722" w:rsidRPr="00445521" w:rsidTr="005B1517">
        <w:tc>
          <w:tcPr>
            <w:tcW w:w="6912" w:type="dxa"/>
          </w:tcPr>
          <w:p w:rsidR="000E7722" w:rsidRDefault="000E7722" w:rsidP="00933127">
            <w:pPr>
              <w:numPr>
                <w:ilvl w:val="1"/>
                <w:numId w:val="5"/>
              </w:numPr>
            </w:pPr>
            <w:r>
              <w:t>Maintaining and monitoring adequacy of insurance dealing with fraudulent</w:t>
            </w:r>
            <w:r w:rsidR="00FA78F5">
              <w:t xml:space="preserve">, </w:t>
            </w:r>
            <w:r w:rsidR="00933127">
              <w:t>c</w:t>
            </w:r>
            <w:r w:rsidR="00FA78F5">
              <w:t>orrupt</w:t>
            </w:r>
            <w:r>
              <w:t xml:space="preserve"> or improper conduct</w:t>
            </w:r>
          </w:p>
        </w:tc>
        <w:tc>
          <w:tcPr>
            <w:tcW w:w="6946" w:type="dxa"/>
          </w:tcPr>
          <w:p w:rsidR="000E7722" w:rsidRPr="00445521" w:rsidRDefault="000E7722" w:rsidP="00445521"/>
        </w:tc>
      </w:tr>
    </w:tbl>
    <w:p w:rsidR="00445521" w:rsidRPr="00445521" w:rsidRDefault="00445521" w:rsidP="00445521"/>
    <w:sectPr w:rsidR="00445521" w:rsidRPr="00445521" w:rsidSect="006F162F">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9D" w:rsidRDefault="0097359D" w:rsidP="006D1F60">
      <w:pPr>
        <w:spacing w:after="0"/>
      </w:pPr>
      <w:r>
        <w:separator/>
      </w:r>
    </w:p>
  </w:endnote>
  <w:endnote w:type="continuationSeparator" w:id="0">
    <w:p w:rsidR="0097359D" w:rsidRDefault="0097359D" w:rsidP="006D1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74" w:rsidRDefault="00370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319027"/>
      <w:docPartObj>
        <w:docPartGallery w:val="Page Numbers (Bottom of Page)"/>
        <w:docPartUnique/>
      </w:docPartObj>
    </w:sdtPr>
    <w:sdtEndPr/>
    <w:sdtContent>
      <w:sdt>
        <w:sdtPr>
          <w:id w:val="860082579"/>
          <w:docPartObj>
            <w:docPartGallery w:val="Page Numbers (Top of Page)"/>
            <w:docPartUnique/>
          </w:docPartObj>
        </w:sdtPr>
        <w:sdtEndPr/>
        <w:sdtContent>
          <w:p w:rsidR="006D1F60" w:rsidRDefault="006D1F6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70B74">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70B74">
              <w:rPr>
                <w:b/>
                <w:bCs/>
                <w:noProof/>
              </w:rPr>
              <w:t>9</w:t>
            </w:r>
            <w:r>
              <w:rPr>
                <w:b/>
                <w:bCs/>
                <w:szCs w:val="24"/>
              </w:rPr>
              <w:fldChar w:fldCharType="end"/>
            </w:r>
          </w:p>
        </w:sdtContent>
      </w:sdt>
    </w:sdtContent>
  </w:sdt>
  <w:p w:rsidR="006D1F60" w:rsidRPr="006D1F60" w:rsidRDefault="006F162F" w:rsidP="006F162F">
    <w:pPr>
      <w:pStyle w:val="Footer"/>
      <w:pBdr>
        <w:top w:val="single" w:sz="4" w:space="1" w:color="auto"/>
        <w:left w:val="single" w:sz="4" w:space="4" w:color="auto"/>
        <w:bottom w:val="single" w:sz="4" w:space="1" w:color="auto"/>
        <w:right w:val="single" w:sz="4" w:space="4" w:color="auto"/>
      </w:pBdr>
      <w:tabs>
        <w:tab w:val="clear" w:pos="4513"/>
        <w:tab w:val="clear" w:pos="9026"/>
        <w:tab w:val="center" w:pos="5103"/>
        <w:tab w:val="right" w:pos="10206"/>
      </w:tabs>
      <w:ind w:right="139"/>
      <w:rPr>
        <w:rFonts w:cs="Arial"/>
        <w:sz w:val="20"/>
        <w:szCs w:val="20"/>
        <w:lang w:val="en-GB"/>
      </w:rPr>
    </w:pPr>
    <w:r>
      <w:rPr>
        <w:rFonts w:cs="Arial"/>
        <w:sz w:val="20"/>
        <w:szCs w:val="20"/>
        <w:lang w:val="en-GB"/>
      </w:rPr>
      <w:t xml:space="preserve">Template: Version </w:t>
    </w:r>
    <w:r>
      <w:rPr>
        <w:rFonts w:cs="Arial"/>
        <w:sz w:val="20"/>
        <w:szCs w:val="20"/>
        <w:lang w:val="en-GB"/>
      </w:rPr>
      <w:t>1</w:t>
    </w:r>
    <w:r w:rsidR="00370B74">
      <w:rPr>
        <w:rFonts w:cs="Arial"/>
        <w:sz w:val="20"/>
        <w:szCs w:val="20"/>
        <w:lang w:val="en-GB"/>
      </w:rPr>
      <w:t>.0</w:t>
    </w:r>
    <w:bookmarkStart w:id="7" w:name="_GoBack"/>
    <w:bookmarkEnd w:id="7"/>
    <w:r>
      <w:rPr>
        <w:rFonts w:cs="Arial"/>
        <w:sz w:val="20"/>
        <w:szCs w:val="20"/>
        <w:lang w:val="en-GB"/>
      </w:rPr>
      <w:tab/>
    </w:r>
    <w:r>
      <w:rPr>
        <w:rFonts w:cs="Arial"/>
        <w:sz w:val="20"/>
        <w:szCs w:val="20"/>
        <w:lang w:val="en-GB"/>
      </w:rPr>
      <w:tab/>
    </w:r>
    <w:r w:rsidR="006D1F60">
      <w:rPr>
        <w:rFonts w:cs="Arial"/>
        <w:sz w:val="20"/>
        <w:szCs w:val="20"/>
        <w:lang w:val="en-GB"/>
      </w:rPr>
      <w:t>E</w:t>
    </w:r>
    <w:r w:rsidR="006D1F60" w:rsidRPr="008B5436">
      <w:rPr>
        <w:rFonts w:cs="Arial"/>
        <w:sz w:val="20"/>
        <w:szCs w:val="20"/>
        <w:lang w:val="en-GB"/>
      </w:rPr>
      <w:t xml:space="preserve">nsure you have the latest version from the </w:t>
    </w:r>
    <w:hyperlink r:id="rId1" w:history="1">
      <w:r w:rsidR="006D1F60" w:rsidRPr="008B5436">
        <w:rPr>
          <w:rStyle w:val="Hyperlink"/>
          <w:rFonts w:cs="Arial"/>
          <w:sz w:val="20"/>
          <w:szCs w:val="20"/>
          <w:lang w:val="en-GB"/>
        </w:rPr>
        <w:t>Policy Frameworks</w:t>
      </w:r>
    </w:hyperlink>
    <w:r>
      <w:rPr>
        <w:rFonts w:cs="Arial"/>
        <w:sz w:val="20"/>
        <w:szCs w:val="20"/>
        <w:lang w:val="en-GB"/>
      </w:rPr>
      <w:t xml:space="preserve"> website.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74" w:rsidRDefault="00370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9D" w:rsidRDefault="0097359D" w:rsidP="006D1F60">
      <w:pPr>
        <w:spacing w:after="0"/>
      </w:pPr>
      <w:r>
        <w:separator/>
      </w:r>
    </w:p>
  </w:footnote>
  <w:footnote w:type="continuationSeparator" w:id="0">
    <w:p w:rsidR="0097359D" w:rsidRDefault="0097359D" w:rsidP="006D1F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74" w:rsidRDefault="00370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74" w:rsidRDefault="00370B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2F" w:rsidRDefault="006F162F">
    <w:pPr>
      <w:pStyle w:val="Header"/>
    </w:pPr>
    <w:r>
      <w:rPr>
        <w:rFonts w:eastAsia="Calibri" w:cs="Times New Roman"/>
        <w:noProof/>
        <w:lang w:eastAsia="en-AU"/>
      </w:rPr>
      <w:drawing>
        <wp:inline distT="0" distB="0" distL="0" distR="0">
          <wp:extent cx="311404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040" cy="5524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3DE1"/>
    <w:multiLevelType w:val="hybridMultilevel"/>
    <w:tmpl w:val="32E87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7355E2"/>
    <w:multiLevelType w:val="hybridMultilevel"/>
    <w:tmpl w:val="2200AB66"/>
    <w:lvl w:ilvl="0" w:tplc="1048E6B8">
      <w:start w:val="1"/>
      <w:numFmt w:val="bullet"/>
      <w:lvlText w:val=""/>
      <w:lvlJc w:val="left"/>
      <w:pPr>
        <w:ind w:left="1117" w:hanging="360"/>
      </w:pPr>
      <w:rPr>
        <w:rFonts w:ascii="Symbol" w:hAnsi="Symbol" w:hint="default"/>
        <w:color w:val="A6A6A6" w:themeColor="background1" w:themeShade="A6"/>
      </w:rPr>
    </w:lvl>
    <w:lvl w:ilvl="1" w:tplc="0C090003">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
    <w:nsid w:val="1BA40B87"/>
    <w:multiLevelType w:val="hybridMultilevel"/>
    <w:tmpl w:val="FCC48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C7219E"/>
    <w:multiLevelType w:val="multilevel"/>
    <w:tmpl w:val="DD521C2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546337B"/>
    <w:multiLevelType w:val="hybridMultilevel"/>
    <w:tmpl w:val="585E5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ABB0F9B"/>
    <w:multiLevelType w:val="hybridMultilevel"/>
    <w:tmpl w:val="BCE67C0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nsid w:val="40512791"/>
    <w:multiLevelType w:val="hybridMultilevel"/>
    <w:tmpl w:val="3A08A8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4181989"/>
    <w:multiLevelType w:val="hybridMultilevel"/>
    <w:tmpl w:val="9D402D02"/>
    <w:lvl w:ilvl="0" w:tplc="9920017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A177749"/>
    <w:multiLevelType w:val="multilevel"/>
    <w:tmpl w:val="7080765E"/>
    <w:lvl w:ilvl="0">
      <w:start w:val="1"/>
      <w:numFmt w:val="decimal"/>
      <w:lvlText w:val="%1."/>
      <w:lvlJc w:val="left"/>
      <w:pPr>
        <w:ind w:left="360" w:hanging="360"/>
      </w:p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A9231A8"/>
    <w:multiLevelType w:val="hybridMultilevel"/>
    <w:tmpl w:val="D1241172"/>
    <w:lvl w:ilvl="0" w:tplc="9920017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683" w:hanging="360"/>
      </w:pPr>
      <w:rPr>
        <w:rFonts w:ascii="Courier New" w:hAnsi="Courier New" w:cs="Courier New" w:hint="default"/>
      </w:rPr>
    </w:lvl>
    <w:lvl w:ilvl="2" w:tplc="0C090005" w:tentative="1">
      <w:start w:val="1"/>
      <w:numFmt w:val="bullet"/>
      <w:lvlText w:val=""/>
      <w:lvlJc w:val="left"/>
      <w:pPr>
        <w:ind w:left="1403" w:hanging="360"/>
      </w:pPr>
      <w:rPr>
        <w:rFonts w:ascii="Wingdings" w:hAnsi="Wingdings" w:hint="default"/>
      </w:rPr>
    </w:lvl>
    <w:lvl w:ilvl="3" w:tplc="0C090001" w:tentative="1">
      <w:start w:val="1"/>
      <w:numFmt w:val="bullet"/>
      <w:lvlText w:val=""/>
      <w:lvlJc w:val="left"/>
      <w:pPr>
        <w:ind w:left="2123" w:hanging="360"/>
      </w:pPr>
      <w:rPr>
        <w:rFonts w:ascii="Symbol" w:hAnsi="Symbol" w:hint="default"/>
      </w:rPr>
    </w:lvl>
    <w:lvl w:ilvl="4" w:tplc="0C090003" w:tentative="1">
      <w:start w:val="1"/>
      <w:numFmt w:val="bullet"/>
      <w:lvlText w:val="o"/>
      <w:lvlJc w:val="left"/>
      <w:pPr>
        <w:ind w:left="2843" w:hanging="360"/>
      </w:pPr>
      <w:rPr>
        <w:rFonts w:ascii="Courier New" w:hAnsi="Courier New" w:cs="Courier New" w:hint="default"/>
      </w:rPr>
    </w:lvl>
    <w:lvl w:ilvl="5" w:tplc="0C090005" w:tentative="1">
      <w:start w:val="1"/>
      <w:numFmt w:val="bullet"/>
      <w:lvlText w:val=""/>
      <w:lvlJc w:val="left"/>
      <w:pPr>
        <w:ind w:left="3563" w:hanging="360"/>
      </w:pPr>
      <w:rPr>
        <w:rFonts w:ascii="Wingdings" w:hAnsi="Wingdings" w:hint="default"/>
      </w:rPr>
    </w:lvl>
    <w:lvl w:ilvl="6" w:tplc="0C090001" w:tentative="1">
      <w:start w:val="1"/>
      <w:numFmt w:val="bullet"/>
      <w:lvlText w:val=""/>
      <w:lvlJc w:val="left"/>
      <w:pPr>
        <w:ind w:left="4283" w:hanging="360"/>
      </w:pPr>
      <w:rPr>
        <w:rFonts w:ascii="Symbol" w:hAnsi="Symbol" w:hint="default"/>
      </w:rPr>
    </w:lvl>
    <w:lvl w:ilvl="7" w:tplc="0C090003" w:tentative="1">
      <w:start w:val="1"/>
      <w:numFmt w:val="bullet"/>
      <w:lvlText w:val="o"/>
      <w:lvlJc w:val="left"/>
      <w:pPr>
        <w:ind w:left="5003" w:hanging="360"/>
      </w:pPr>
      <w:rPr>
        <w:rFonts w:ascii="Courier New" w:hAnsi="Courier New" w:cs="Courier New" w:hint="default"/>
      </w:rPr>
    </w:lvl>
    <w:lvl w:ilvl="8" w:tplc="0C090005" w:tentative="1">
      <w:start w:val="1"/>
      <w:numFmt w:val="bullet"/>
      <w:lvlText w:val=""/>
      <w:lvlJc w:val="left"/>
      <w:pPr>
        <w:ind w:left="5723" w:hanging="360"/>
      </w:pPr>
      <w:rPr>
        <w:rFonts w:ascii="Wingdings" w:hAnsi="Wingdings" w:hint="default"/>
      </w:rPr>
    </w:lvl>
  </w:abstractNum>
  <w:abstractNum w:abstractNumId="11">
    <w:nsid w:val="76962097"/>
    <w:multiLevelType w:val="hybridMultilevel"/>
    <w:tmpl w:val="3120F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5"/>
  </w:num>
  <w:num w:numId="5">
    <w:abstractNumId w:val="8"/>
  </w:num>
  <w:num w:numId="6">
    <w:abstractNumId w:val="6"/>
  </w:num>
  <w:num w:numId="7">
    <w:abstractNumId w:val="4"/>
  </w:num>
  <w:num w:numId="8">
    <w:abstractNumId w:val="0"/>
  </w:num>
  <w:num w:numId="9">
    <w:abstractNumId w:val="1"/>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A1"/>
    <w:rsid w:val="00010840"/>
    <w:rsid w:val="0002365E"/>
    <w:rsid w:val="0008081A"/>
    <w:rsid w:val="0009175C"/>
    <w:rsid w:val="000D287C"/>
    <w:rsid w:val="000E6F99"/>
    <w:rsid w:val="000E7722"/>
    <w:rsid w:val="00106C41"/>
    <w:rsid w:val="001437E0"/>
    <w:rsid w:val="00171B7B"/>
    <w:rsid w:val="00191739"/>
    <w:rsid w:val="00197A76"/>
    <w:rsid w:val="001A5BA4"/>
    <w:rsid w:val="001B53FA"/>
    <w:rsid w:val="001C7D1F"/>
    <w:rsid w:val="001F6030"/>
    <w:rsid w:val="001F68E9"/>
    <w:rsid w:val="00200F1E"/>
    <w:rsid w:val="00220E8F"/>
    <w:rsid w:val="002C7D7D"/>
    <w:rsid w:val="00355004"/>
    <w:rsid w:val="00370B74"/>
    <w:rsid w:val="003929E7"/>
    <w:rsid w:val="003D0D84"/>
    <w:rsid w:val="003F05B8"/>
    <w:rsid w:val="00420584"/>
    <w:rsid w:val="00445521"/>
    <w:rsid w:val="00466DB9"/>
    <w:rsid w:val="00471692"/>
    <w:rsid w:val="004A580A"/>
    <w:rsid w:val="004A609E"/>
    <w:rsid w:val="004C2780"/>
    <w:rsid w:val="004C6976"/>
    <w:rsid w:val="004C71F6"/>
    <w:rsid w:val="0056716B"/>
    <w:rsid w:val="005A409E"/>
    <w:rsid w:val="005B1517"/>
    <w:rsid w:val="005F3215"/>
    <w:rsid w:val="006D1F60"/>
    <w:rsid w:val="006F162F"/>
    <w:rsid w:val="006F1D8B"/>
    <w:rsid w:val="006F52D0"/>
    <w:rsid w:val="00754BD3"/>
    <w:rsid w:val="0077027C"/>
    <w:rsid w:val="007B64A1"/>
    <w:rsid w:val="007D793C"/>
    <w:rsid w:val="007F0164"/>
    <w:rsid w:val="007F2A2C"/>
    <w:rsid w:val="00881846"/>
    <w:rsid w:val="00897837"/>
    <w:rsid w:val="008F7FE4"/>
    <w:rsid w:val="00930DF8"/>
    <w:rsid w:val="00933127"/>
    <w:rsid w:val="00934CD2"/>
    <w:rsid w:val="0094249E"/>
    <w:rsid w:val="009668ED"/>
    <w:rsid w:val="0097359D"/>
    <w:rsid w:val="00981DA1"/>
    <w:rsid w:val="00990D6C"/>
    <w:rsid w:val="009C5FA2"/>
    <w:rsid w:val="009F4BD7"/>
    <w:rsid w:val="00A34B3E"/>
    <w:rsid w:val="00A9084E"/>
    <w:rsid w:val="00A91C4C"/>
    <w:rsid w:val="00AA5467"/>
    <w:rsid w:val="00B14F15"/>
    <w:rsid w:val="00B26624"/>
    <w:rsid w:val="00B428DC"/>
    <w:rsid w:val="00B615E9"/>
    <w:rsid w:val="00B6724D"/>
    <w:rsid w:val="00BB5682"/>
    <w:rsid w:val="00BD41EB"/>
    <w:rsid w:val="00BE35B9"/>
    <w:rsid w:val="00BE3C2D"/>
    <w:rsid w:val="00C13933"/>
    <w:rsid w:val="00C7143D"/>
    <w:rsid w:val="00CF64E2"/>
    <w:rsid w:val="00D147D4"/>
    <w:rsid w:val="00D258EB"/>
    <w:rsid w:val="00D44653"/>
    <w:rsid w:val="00D9301F"/>
    <w:rsid w:val="00DE4BFE"/>
    <w:rsid w:val="00E2555E"/>
    <w:rsid w:val="00E40563"/>
    <w:rsid w:val="00E47483"/>
    <w:rsid w:val="00ED185F"/>
    <w:rsid w:val="00FA78F5"/>
    <w:rsid w:val="00FB4F36"/>
    <w:rsid w:val="00FC08BA"/>
    <w:rsid w:val="00FE3C8B"/>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uiPriority w:val="99"/>
    <w:semiHidden/>
    <w:rsid w:val="007B64A1"/>
    <w:rPr>
      <w:sz w:val="16"/>
      <w:szCs w:val="16"/>
    </w:rPr>
  </w:style>
  <w:style w:type="paragraph" w:styleId="CommentText">
    <w:name w:val="annotation text"/>
    <w:basedOn w:val="Normal"/>
    <w:link w:val="CommentTextChar"/>
    <w:uiPriority w:val="99"/>
    <w:semiHidden/>
    <w:rsid w:val="007B64A1"/>
    <w:pPr>
      <w:spacing w:after="120"/>
    </w:pPr>
    <w:rPr>
      <w:rFonts w:eastAsia="Calibri" w:cs="Times New Roman"/>
      <w:sz w:val="20"/>
      <w:szCs w:val="20"/>
    </w:rPr>
  </w:style>
  <w:style w:type="character" w:customStyle="1" w:styleId="CommentTextChar">
    <w:name w:val="Comment Text Char"/>
    <w:basedOn w:val="DefaultParagraphFont"/>
    <w:link w:val="CommentText"/>
    <w:uiPriority w:val="99"/>
    <w:semiHidden/>
    <w:rsid w:val="007B64A1"/>
    <w:rPr>
      <w:rFonts w:ascii="Arial" w:eastAsia="Calibri" w:hAnsi="Arial" w:cs="Times New Roman"/>
      <w:sz w:val="20"/>
      <w:szCs w:val="20"/>
    </w:rPr>
  </w:style>
  <w:style w:type="paragraph" w:styleId="Header">
    <w:name w:val="header"/>
    <w:basedOn w:val="Normal"/>
    <w:link w:val="HeaderChar"/>
    <w:uiPriority w:val="99"/>
    <w:semiHidden/>
    <w:rsid w:val="006D1F60"/>
    <w:pPr>
      <w:tabs>
        <w:tab w:val="center" w:pos="4513"/>
        <w:tab w:val="right" w:pos="9026"/>
      </w:tabs>
      <w:spacing w:after="0"/>
    </w:pPr>
  </w:style>
  <w:style w:type="character" w:customStyle="1" w:styleId="HeaderChar">
    <w:name w:val="Header Char"/>
    <w:basedOn w:val="DefaultParagraphFont"/>
    <w:link w:val="Header"/>
    <w:uiPriority w:val="99"/>
    <w:semiHidden/>
    <w:rsid w:val="006D1F60"/>
    <w:rPr>
      <w:rFonts w:ascii="Arial" w:hAnsi="Arial"/>
      <w:sz w:val="24"/>
    </w:rPr>
  </w:style>
  <w:style w:type="paragraph" w:styleId="Footer">
    <w:name w:val="footer"/>
    <w:basedOn w:val="Normal"/>
    <w:link w:val="FooterChar"/>
    <w:uiPriority w:val="99"/>
    <w:rsid w:val="006D1F60"/>
    <w:pPr>
      <w:tabs>
        <w:tab w:val="center" w:pos="4513"/>
        <w:tab w:val="right" w:pos="9026"/>
      </w:tabs>
      <w:spacing w:after="0"/>
    </w:pPr>
  </w:style>
  <w:style w:type="character" w:customStyle="1" w:styleId="FooterChar">
    <w:name w:val="Footer Char"/>
    <w:basedOn w:val="DefaultParagraphFont"/>
    <w:link w:val="Footer"/>
    <w:uiPriority w:val="99"/>
    <w:rsid w:val="006D1F60"/>
    <w:rPr>
      <w:rFonts w:ascii="Arial" w:hAnsi="Arial"/>
      <w:sz w:val="24"/>
    </w:rPr>
  </w:style>
  <w:style w:type="paragraph" w:styleId="CommentSubject">
    <w:name w:val="annotation subject"/>
    <w:basedOn w:val="CommentText"/>
    <w:next w:val="CommentText"/>
    <w:link w:val="CommentSubjectChar"/>
    <w:uiPriority w:val="99"/>
    <w:semiHidden/>
    <w:rsid w:val="00D44653"/>
    <w:pPr>
      <w:spacing w:after="170"/>
    </w:pPr>
    <w:rPr>
      <w:rFonts w:eastAsiaTheme="minorHAnsi" w:cstheme="minorBidi"/>
      <w:b/>
      <w:bCs/>
    </w:rPr>
  </w:style>
  <w:style w:type="character" w:customStyle="1" w:styleId="CommentSubjectChar">
    <w:name w:val="Comment Subject Char"/>
    <w:basedOn w:val="CommentTextChar"/>
    <w:link w:val="CommentSubject"/>
    <w:uiPriority w:val="99"/>
    <w:semiHidden/>
    <w:rsid w:val="00D44653"/>
    <w:rPr>
      <w:rFonts w:ascii="Arial" w:eastAsia="Calibri" w:hAnsi="Arial" w:cs="Times New Roman"/>
      <w:b/>
      <w:bCs/>
      <w:sz w:val="20"/>
      <w:szCs w:val="20"/>
    </w:rPr>
  </w:style>
  <w:style w:type="paragraph" w:styleId="Revision">
    <w:name w:val="Revision"/>
    <w:hidden/>
    <w:uiPriority w:val="99"/>
    <w:semiHidden/>
    <w:rsid w:val="00D44653"/>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uiPriority w:val="99"/>
    <w:semiHidden/>
    <w:rsid w:val="007B64A1"/>
    <w:rPr>
      <w:sz w:val="16"/>
      <w:szCs w:val="16"/>
    </w:rPr>
  </w:style>
  <w:style w:type="paragraph" w:styleId="CommentText">
    <w:name w:val="annotation text"/>
    <w:basedOn w:val="Normal"/>
    <w:link w:val="CommentTextChar"/>
    <w:uiPriority w:val="99"/>
    <w:semiHidden/>
    <w:rsid w:val="007B64A1"/>
    <w:pPr>
      <w:spacing w:after="120"/>
    </w:pPr>
    <w:rPr>
      <w:rFonts w:eastAsia="Calibri" w:cs="Times New Roman"/>
      <w:sz w:val="20"/>
      <w:szCs w:val="20"/>
    </w:rPr>
  </w:style>
  <w:style w:type="character" w:customStyle="1" w:styleId="CommentTextChar">
    <w:name w:val="Comment Text Char"/>
    <w:basedOn w:val="DefaultParagraphFont"/>
    <w:link w:val="CommentText"/>
    <w:uiPriority w:val="99"/>
    <w:semiHidden/>
    <w:rsid w:val="007B64A1"/>
    <w:rPr>
      <w:rFonts w:ascii="Arial" w:eastAsia="Calibri" w:hAnsi="Arial" w:cs="Times New Roman"/>
      <w:sz w:val="20"/>
      <w:szCs w:val="20"/>
    </w:rPr>
  </w:style>
  <w:style w:type="paragraph" w:styleId="Header">
    <w:name w:val="header"/>
    <w:basedOn w:val="Normal"/>
    <w:link w:val="HeaderChar"/>
    <w:uiPriority w:val="99"/>
    <w:semiHidden/>
    <w:rsid w:val="006D1F60"/>
    <w:pPr>
      <w:tabs>
        <w:tab w:val="center" w:pos="4513"/>
        <w:tab w:val="right" w:pos="9026"/>
      </w:tabs>
      <w:spacing w:after="0"/>
    </w:pPr>
  </w:style>
  <w:style w:type="character" w:customStyle="1" w:styleId="HeaderChar">
    <w:name w:val="Header Char"/>
    <w:basedOn w:val="DefaultParagraphFont"/>
    <w:link w:val="Header"/>
    <w:uiPriority w:val="99"/>
    <w:semiHidden/>
    <w:rsid w:val="006D1F60"/>
    <w:rPr>
      <w:rFonts w:ascii="Arial" w:hAnsi="Arial"/>
      <w:sz w:val="24"/>
    </w:rPr>
  </w:style>
  <w:style w:type="paragraph" w:styleId="Footer">
    <w:name w:val="footer"/>
    <w:basedOn w:val="Normal"/>
    <w:link w:val="FooterChar"/>
    <w:uiPriority w:val="99"/>
    <w:rsid w:val="006D1F60"/>
    <w:pPr>
      <w:tabs>
        <w:tab w:val="center" w:pos="4513"/>
        <w:tab w:val="right" w:pos="9026"/>
      </w:tabs>
      <w:spacing w:after="0"/>
    </w:pPr>
  </w:style>
  <w:style w:type="character" w:customStyle="1" w:styleId="FooterChar">
    <w:name w:val="Footer Char"/>
    <w:basedOn w:val="DefaultParagraphFont"/>
    <w:link w:val="Footer"/>
    <w:uiPriority w:val="99"/>
    <w:rsid w:val="006D1F60"/>
    <w:rPr>
      <w:rFonts w:ascii="Arial" w:hAnsi="Arial"/>
      <w:sz w:val="24"/>
    </w:rPr>
  </w:style>
  <w:style w:type="paragraph" w:styleId="CommentSubject">
    <w:name w:val="annotation subject"/>
    <w:basedOn w:val="CommentText"/>
    <w:next w:val="CommentText"/>
    <w:link w:val="CommentSubjectChar"/>
    <w:uiPriority w:val="99"/>
    <w:semiHidden/>
    <w:rsid w:val="00D44653"/>
    <w:pPr>
      <w:spacing w:after="170"/>
    </w:pPr>
    <w:rPr>
      <w:rFonts w:eastAsiaTheme="minorHAnsi" w:cstheme="minorBidi"/>
      <w:b/>
      <w:bCs/>
    </w:rPr>
  </w:style>
  <w:style w:type="character" w:customStyle="1" w:styleId="CommentSubjectChar">
    <w:name w:val="Comment Subject Char"/>
    <w:basedOn w:val="CommentTextChar"/>
    <w:link w:val="CommentSubject"/>
    <w:uiPriority w:val="99"/>
    <w:semiHidden/>
    <w:rsid w:val="00D44653"/>
    <w:rPr>
      <w:rFonts w:ascii="Arial" w:eastAsia="Calibri" w:hAnsi="Arial" w:cs="Times New Roman"/>
      <w:b/>
      <w:bCs/>
      <w:sz w:val="20"/>
      <w:szCs w:val="20"/>
    </w:rPr>
  </w:style>
  <w:style w:type="paragraph" w:styleId="Revision">
    <w:name w:val="Revision"/>
    <w:hidden/>
    <w:uiPriority w:val="99"/>
    <w:semiHidden/>
    <w:rsid w:val="00D4465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health.wa.gov.au/circularsnew/policy_frameworks.cf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93EAA-1D19-4D26-BCCC-72CBC247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Jenkinson, Jennifer</dc:creator>
  <cp:lastModifiedBy>Clements, Jessica</cp:lastModifiedBy>
  <cp:revision>5</cp:revision>
  <cp:lastPrinted>2019-01-31T08:12:00Z</cp:lastPrinted>
  <dcterms:created xsi:type="dcterms:W3CDTF">2019-03-25T08:32:00Z</dcterms:created>
  <dcterms:modified xsi:type="dcterms:W3CDTF">2019-03-26T06:17:00Z</dcterms:modified>
</cp:coreProperties>
</file>