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8F" w:rsidRDefault="00107C96" w:rsidP="00B3718F">
      <w:pPr>
        <w:pStyle w:val="Headlines"/>
        <w:ind w:left="1278"/>
      </w:pPr>
      <w:r>
        <w:t>Guidelines</w:t>
      </w:r>
      <w:r w:rsidR="000F3572">
        <w:t xml:space="preserve"> for the </w:t>
      </w:r>
      <w:r w:rsidR="009334DD">
        <w:t>preparation of the deceased for burial or cremation</w:t>
      </w:r>
      <w:r w:rsidR="00184E59">
        <w:t xml:space="preserve"> </w:t>
      </w:r>
    </w:p>
    <w:p w:rsidR="00B3718F" w:rsidRDefault="00B3718F" w:rsidP="00B3718F"/>
    <w:p w:rsidR="00B3718F" w:rsidRPr="00B3718F" w:rsidRDefault="00B3718F" w:rsidP="00B3718F">
      <w:pPr>
        <w:ind w:left="-851"/>
        <w:sectPr w:rsidR="00B3718F" w:rsidRPr="00B3718F" w:rsidSect="002C7642">
          <w:headerReference w:type="default" r:id="rId9"/>
          <w:footerReference w:type="default" r:id="rId10"/>
          <w:pgSz w:w="11906" w:h="16838"/>
          <w:pgMar w:top="3969" w:right="688" w:bottom="851" w:left="851" w:header="709" w:footer="441" w:gutter="0"/>
          <w:cols w:space="708"/>
          <w:docGrid w:linePitch="360"/>
        </w:sectPr>
      </w:pPr>
    </w:p>
    <w:p w:rsidR="00BF2FDF" w:rsidRPr="00BF2FDF" w:rsidRDefault="00BF2FDF" w:rsidP="0064686E">
      <w:pPr>
        <w:tabs>
          <w:tab w:val="right" w:pos="10065"/>
        </w:tabs>
      </w:pPr>
    </w:p>
    <w:p w:rsidR="0064686E" w:rsidRDefault="0064686E">
      <w:pPr>
        <w:pStyle w:val="TOCHeading"/>
      </w:pPr>
      <w:r>
        <w:t>Contents</w:t>
      </w:r>
    </w:p>
    <w:p w:rsidR="008616EC" w:rsidRDefault="0064686E">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80278636" w:history="1">
        <w:r w:rsidR="008616EC" w:rsidRPr="00E35B95">
          <w:rPr>
            <w:rStyle w:val="Hyperlink"/>
          </w:rPr>
          <w:t>Definitions</w:t>
        </w:r>
        <w:r w:rsidR="008616EC">
          <w:rPr>
            <w:webHidden/>
          </w:rPr>
          <w:tab/>
        </w:r>
        <w:r w:rsidR="008616EC">
          <w:rPr>
            <w:webHidden/>
          </w:rPr>
          <w:fldChar w:fldCharType="begin"/>
        </w:r>
        <w:r w:rsidR="008616EC">
          <w:rPr>
            <w:webHidden/>
          </w:rPr>
          <w:instrText xml:space="preserve"> PAGEREF _Toc480278636 \h </w:instrText>
        </w:r>
        <w:r w:rsidR="008616EC">
          <w:rPr>
            <w:webHidden/>
          </w:rPr>
        </w:r>
        <w:r w:rsidR="008616EC">
          <w:rPr>
            <w:webHidden/>
          </w:rPr>
          <w:fldChar w:fldCharType="separate"/>
        </w:r>
        <w:r w:rsidR="008616EC">
          <w:rPr>
            <w:webHidden/>
          </w:rPr>
          <w:t>2</w:t>
        </w:r>
        <w:r w:rsidR="008616EC">
          <w:rPr>
            <w:webHidden/>
          </w:rPr>
          <w:fldChar w:fldCharType="end"/>
        </w:r>
      </w:hyperlink>
    </w:p>
    <w:p w:rsidR="008616EC" w:rsidRDefault="007A671D">
      <w:pPr>
        <w:pStyle w:val="TOC1"/>
        <w:rPr>
          <w:rFonts w:asciiTheme="minorHAnsi" w:eastAsiaTheme="minorEastAsia" w:hAnsiTheme="minorHAnsi" w:cstheme="minorBidi"/>
          <w:sz w:val="22"/>
          <w:lang w:eastAsia="en-AU"/>
        </w:rPr>
      </w:pPr>
      <w:hyperlink w:anchor="_Toc480278637" w:history="1">
        <w:r w:rsidR="008616EC" w:rsidRPr="00E35B95">
          <w:rPr>
            <w:rStyle w:val="Hyperlink"/>
          </w:rPr>
          <w:t>Legislation</w:t>
        </w:r>
        <w:r w:rsidR="008616EC">
          <w:rPr>
            <w:webHidden/>
          </w:rPr>
          <w:tab/>
        </w:r>
        <w:r w:rsidR="008616EC">
          <w:rPr>
            <w:webHidden/>
          </w:rPr>
          <w:fldChar w:fldCharType="begin"/>
        </w:r>
        <w:r w:rsidR="008616EC">
          <w:rPr>
            <w:webHidden/>
          </w:rPr>
          <w:instrText xml:space="preserve"> PAGEREF _Toc480278637 \h </w:instrText>
        </w:r>
        <w:r w:rsidR="008616EC">
          <w:rPr>
            <w:webHidden/>
          </w:rPr>
        </w:r>
        <w:r w:rsidR="008616EC">
          <w:rPr>
            <w:webHidden/>
          </w:rPr>
          <w:fldChar w:fldCharType="separate"/>
        </w:r>
        <w:r w:rsidR="008616EC">
          <w:rPr>
            <w:webHidden/>
          </w:rPr>
          <w:t>2</w:t>
        </w:r>
        <w:r w:rsidR="008616EC">
          <w:rPr>
            <w:webHidden/>
          </w:rPr>
          <w:fldChar w:fldCharType="end"/>
        </w:r>
      </w:hyperlink>
    </w:p>
    <w:p w:rsidR="008616EC" w:rsidRDefault="007A671D">
      <w:pPr>
        <w:pStyle w:val="TOC1"/>
        <w:rPr>
          <w:rFonts w:asciiTheme="minorHAnsi" w:eastAsiaTheme="minorEastAsia" w:hAnsiTheme="minorHAnsi" w:cstheme="minorBidi"/>
          <w:sz w:val="22"/>
          <w:lang w:eastAsia="en-AU"/>
        </w:rPr>
      </w:pPr>
      <w:hyperlink w:anchor="_Toc480278638" w:history="1">
        <w:r w:rsidR="008616EC" w:rsidRPr="00E35B95">
          <w:rPr>
            <w:rStyle w:val="Hyperlink"/>
          </w:rPr>
          <w:t>Introduction</w:t>
        </w:r>
        <w:r w:rsidR="008616EC">
          <w:rPr>
            <w:webHidden/>
          </w:rPr>
          <w:tab/>
        </w:r>
        <w:r w:rsidR="008616EC">
          <w:rPr>
            <w:webHidden/>
          </w:rPr>
          <w:fldChar w:fldCharType="begin"/>
        </w:r>
        <w:r w:rsidR="008616EC">
          <w:rPr>
            <w:webHidden/>
          </w:rPr>
          <w:instrText xml:space="preserve"> PAGEREF _Toc480278638 \h </w:instrText>
        </w:r>
        <w:r w:rsidR="008616EC">
          <w:rPr>
            <w:webHidden/>
          </w:rPr>
        </w:r>
        <w:r w:rsidR="008616EC">
          <w:rPr>
            <w:webHidden/>
          </w:rPr>
          <w:fldChar w:fldCharType="separate"/>
        </w:r>
        <w:r w:rsidR="008616EC">
          <w:rPr>
            <w:webHidden/>
          </w:rPr>
          <w:t>3</w:t>
        </w:r>
        <w:r w:rsidR="008616EC">
          <w:rPr>
            <w:webHidden/>
          </w:rPr>
          <w:fldChar w:fldCharType="end"/>
        </w:r>
      </w:hyperlink>
    </w:p>
    <w:p w:rsidR="008616EC" w:rsidRDefault="007A671D">
      <w:pPr>
        <w:pStyle w:val="TOC1"/>
        <w:rPr>
          <w:rFonts w:asciiTheme="minorHAnsi" w:eastAsiaTheme="minorEastAsia" w:hAnsiTheme="minorHAnsi" w:cstheme="minorBidi"/>
          <w:sz w:val="22"/>
          <w:lang w:eastAsia="en-AU"/>
        </w:rPr>
      </w:pPr>
      <w:hyperlink w:anchor="_Toc480278639" w:history="1">
        <w:r w:rsidR="008616EC" w:rsidRPr="00E35B95">
          <w:rPr>
            <w:rStyle w:val="Hyperlink"/>
          </w:rPr>
          <w:t>Facilities</w:t>
        </w:r>
        <w:r w:rsidR="008616EC">
          <w:rPr>
            <w:webHidden/>
          </w:rPr>
          <w:tab/>
        </w:r>
        <w:r w:rsidR="008616EC">
          <w:rPr>
            <w:webHidden/>
          </w:rPr>
          <w:fldChar w:fldCharType="begin"/>
        </w:r>
        <w:r w:rsidR="008616EC">
          <w:rPr>
            <w:webHidden/>
          </w:rPr>
          <w:instrText xml:space="preserve"> PAGEREF _Toc480278639 \h </w:instrText>
        </w:r>
        <w:r w:rsidR="008616EC">
          <w:rPr>
            <w:webHidden/>
          </w:rPr>
        </w:r>
        <w:r w:rsidR="008616EC">
          <w:rPr>
            <w:webHidden/>
          </w:rPr>
          <w:fldChar w:fldCharType="separate"/>
        </w:r>
        <w:r w:rsidR="008616EC">
          <w:rPr>
            <w:webHidden/>
          </w:rPr>
          <w:t>3</w:t>
        </w:r>
        <w:r w:rsidR="008616EC">
          <w:rPr>
            <w:webHidden/>
          </w:rPr>
          <w:fldChar w:fldCharType="end"/>
        </w:r>
      </w:hyperlink>
    </w:p>
    <w:p w:rsidR="008616EC" w:rsidRDefault="007A671D">
      <w:pPr>
        <w:pStyle w:val="TOC1"/>
        <w:rPr>
          <w:rFonts w:asciiTheme="minorHAnsi" w:eastAsiaTheme="minorEastAsia" w:hAnsiTheme="minorHAnsi" w:cstheme="minorBidi"/>
          <w:sz w:val="22"/>
          <w:lang w:eastAsia="en-AU"/>
        </w:rPr>
      </w:pPr>
      <w:hyperlink w:anchor="_Toc480278640" w:history="1">
        <w:r w:rsidR="008616EC" w:rsidRPr="00E35B95">
          <w:rPr>
            <w:rStyle w:val="Hyperlink"/>
          </w:rPr>
          <w:t>Retention of bodies by a person who is not a funeral director</w:t>
        </w:r>
        <w:r w:rsidR="008616EC">
          <w:rPr>
            <w:webHidden/>
          </w:rPr>
          <w:tab/>
        </w:r>
        <w:r w:rsidR="008616EC">
          <w:rPr>
            <w:webHidden/>
          </w:rPr>
          <w:fldChar w:fldCharType="begin"/>
        </w:r>
        <w:r w:rsidR="008616EC">
          <w:rPr>
            <w:webHidden/>
          </w:rPr>
          <w:instrText xml:space="preserve"> PAGEREF _Toc480278640 \h </w:instrText>
        </w:r>
        <w:r w:rsidR="008616EC">
          <w:rPr>
            <w:webHidden/>
          </w:rPr>
        </w:r>
        <w:r w:rsidR="008616EC">
          <w:rPr>
            <w:webHidden/>
          </w:rPr>
          <w:fldChar w:fldCharType="separate"/>
        </w:r>
        <w:r w:rsidR="008616EC">
          <w:rPr>
            <w:webHidden/>
          </w:rPr>
          <w:t>3</w:t>
        </w:r>
        <w:r w:rsidR="008616EC">
          <w:rPr>
            <w:webHidden/>
          </w:rPr>
          <w:fldChar w:fldCharType="end"/>
        </w:r>
      </w:hyperlink>
    </w:p>
    <w:p w:rsidR="008616EC" w:rsidRDefault="007A671D">
      <w:pPr>
        <w:pStyle w:val="TOC1"/>
        <w:rPr>
          <w:rFonts w:asciiTheme="minorHAnsi" w:eastAsiaTheme="minorEastAsia" w:hAnsiTheme="minorHAnsi" w:cstheme="minorBidi"/>
          <w:sz w:val="22"/>
          <w:lang w:eastAsia="en-AU"/>
        </w:rPr>
      </w:pPr>
      <w:hyperlink w:anchor="_Toc480278641" w:history="1">
        <w:r w:rsidR="008616EC" w:rsidRPr="00E35B95">
          <w:rPr>
            <w:rStyle w:val="Hyperlink"/>
          </w:rPr>
          <w:t>Retention of bodies by a funeral director</w:t>
        </w:r>
        <w:r w:rsidR="008616EC">
          <w:rPr>
            <w:webHidden/>
          </w:rPr>
          <w:tab/>
        </w:r>
        <w:r w:rsidR="008616EC">
          <w:rPr>
            <w:webHidden/>
          </w:rPr>
          <w:fldChar w:fldCharType="begin"/>
        </w:r>
        <w:r w:rsidR="008616EC">
          <w:rPr>
            <w:webHidden/>
          </w:rPr>
          <w:instrText xml:space="preserve"> PAGEREF _Toc480278641 \h </w:instrText>
        </w:r>
        <w:r w:rsidR="008616EC">
          <w:rPr>
            <w:webHidden/>
          </w:rPr>
        </w:r>
        <w:r w:rsidR="008616EC">
          <w:rPr>
            <w:webHidden/>
          </w:rPr>
          <w:fldChar w:fldCharType="separate"/>
        </w:r>
        <w:r w:rsidR="008616EC">
          <w:rPr>
            <w:webHidden/>
          </w:rPr>
          <w:t>3</w:t>
        </w:r>
        <w:r w:rsidR="008616EC">
          <w:rPr>
            <w:webHidden/>
          </w:rPr>
          <w:fldChar w:fldCharType="end"/>
        </w:r>
      </w:hyperlink>
    </w:p>
    <w:p w:rsidR="008616EC" w:rsidRDefault="007A671D">
      <w:pPr>
        <w:pStyle w:val="TOC1"/>
        <w:rPr>
          <w:rFonts w:asciiTheme="minorHAnsi" w:eastAsiaTheme="minorEastAsia" w:hAnsiTheme="minorHAnsi" w:cstheme="minorBidi"/>
          <w:sz w:val="22"/>
          <w:lang w:eastAsia="en-AU"/>
        </w:rPr>
      </w:pPr>
      <w:hyperlink w:anchor="_Toc480278642" w:history="1">
        <w:r w:rsidR="008616EC" w:rsidRPr="00E35B95">
          <w:rPr>
            <w:rStyle w:val="Hyperlink"/>
          </w:rPr>
          <w:t>Embalming of bodies</w:t>
        </w:r>
        <w:r w:rsidR="008616EC">
          <w:rPr>
            <w:webHidden/>
          </w:rPr>
          <w:tab/>
        </w:r>
        <w:r w:rsidR="008616EC">
          <w:rPr>
            <w:webHidden/>
          </w:rPr>
          <w:fldChar w:fldCharType="begin"/>
        </w:r>
        <w:r w:rsidR="008616EC">
          <w:rPr>
            <w:webHidden/>
          </w:rPr>
          <w:instrText xml:space="preserve"> PAGEREF _Toc480278642 \h </w:instrText>
        </w:r>
        <w:r w:rsidR="008616EC">
          <w:rPr>
            <w:webHidden/>
          </w:rPr>
        </w:r>
        <w:r w:rsidR="008616EC">
          <w:rPr>
            <w:webHidden/>
          </w:rPr>
          <w:fldChar w:fldCharType="separate"/>
        </w:r>
        <w:r w:rsidR="008616EC">
          <w:rPr>
            <w:webHidden/>
          </w:rPr>
          <w:t>4</w:t>
        </w:r>
        <w:r w:rsidR="008616EC">
          <w:rPr>
            <w:webHidden/>
          </w:rPr>
          <w:fldChar w:fldCharType="end"/>
        </w:r>
      </w:hyperlink>
    </w:p>
    <w:p w:rsidR="008616EC" w:rsidRDefault="007A671D">
      <w:pPr>
        <w:pStyle w:val="TOC1"/>
        <w:rPr>
          <w:rFonts w:asciiTheme="minorHAnsi" w:eastAsiaTheme="minorEastAsia" w:hAnsiTheme="minorHAnsi" w:cstheme="minorBidi"/>
          <w:sz w:val="22"/>
          <w:lang w:eastAsia="en-AU"/>
        </w:rPr>
      </w:pPr>
      <w:hyperlink w:anchor="_Toc480278643" w:history="1">
        <w:r w:rsidR="008616EC" w:rsidRPr="00E35B95">
          <w:rPr>
            <w:rStyle w:val="Hyperlink"/>
          </w:rPr>
          <w:t>Infection control procedures</w:t>
        </w:r>
        <w:r w:rsidR="008616EC">
          <w:rPr>
            <w:webHidden/>
          </w:rPr>
          <w:tab/>
        </w:r>
        <w:r w:rsidR="008616EC">
          <w:rPr>
            <w:webHidden/>
          </w:rPr>
          <w:fldChar w:fldCharType="begin"/>
        </w:r>
        <w:r w:rsidR="008616EC">
          <w:rPr>
            <w:webHidden/>
          </w:rPr>
          <w:instrText xml:space="preserve"> PAGEREF _Toc480278643 \h </w:instrText>
        </w:r>
        <w:r w:rsidR="008616EC">
          <w:rPr>
            <w:webHidden/>
          </w:rPr>
        </w:r>
        <w:r w:rsidR="008616EC">
          <w:rPr>
            <w:webHidden/>
          </w:rPr>
          <w:fldChar w:fldCharType="separate"/>
        </w:r>
        <w:r w:rsidR="008616EC">
          <w:rPr>
            <w:webHidden/>
          </w:rPr>
          <w:t>4</w:t>
        </w:r>
        <w:r w:rsidR="008616EC">
          <w:rPr>
            <w:webHidden/>
          </w:rPr>
          <w:fldChar w:fldCharType="end"/>
        </w:r>
      </w:hyperlink>
    </w:p>
    <w:p w:rsidR="008616EC" w:rsidRDefault="007A671D">
      <w:pPr>
        <w:pStyle w:val="TOC1"/>
        <w:rPr>
          <w:rFonts w:asciiTheme="minorHAnsi" w:eastAsiaTheme="minorEastAsia" w:hAnsiTheme="minorHAnsi" w:cstheme="minorBidi"/>
          <w:sz w:val="22"/>
          <w:lang w:eastAsia="en-AU"/>
        </w:rPr>
      </w:pPr>
      <w:hyperlink w:anchor="_Toc480278644" w:history="1">
        <w:r w:rsidR="008616EC" w:rsidRPr="00E35B95">
          <w:rPr>
            <w:rStyle w:val="Hyperlink"/>
          </w:rPr>
          <w:t>Bodies to be place in body bags or wrapping</w:t>
        </w:r>
        <w:r w:rsidR="008616EC">
          <w:rPr>
            <w:webHidden/>
          </w:rPr>
          <w:tab/>
        </w:r>
        <w:r w:rsidR="008616EC">
          <w:rPr>
            <w:webHidden/>
          </w:rPr>
          <w:fldChar w:fldCharType="begin"/>
        </w:r>
        <w:r w:rsidR="008616EC">
          <w:rPr>
            <w:webHidden/>
          </w:rPr>
          <w:instrText xml:space="preserve"> PAGEREF _Toc480278644 \h </w:instrText>
        </w:r>
        <w:r w:rsidR="008616EC">
          <w:rPr>
            <w:webHidden/>
          </w:rPr>
        </w:r>
        <w:r w:rsidR="008616EC">
          <w:rPr>
            <w:webHidden/>
          </w:rPr>
          <w:fldChar w:fldCharType="separate"/>
        </w:r>
        <w:r w:rsidR="008616EC">
          <w:rPr>
            <w:webHidden/>
          </w:rPr>
          <w:t>4</w:t>
        </w:r>
        <w:r w:rsidR="008616EC">
          <w:rPr>
            <w:webHidden/>
          </w:rPr>
          <w:fldChar w:fldCharType="end"/>
        </w:r>
      </w:hyperlink>
    </w:p>
    <w:p w:rsidR="008616EC" w:rsidRDefault="007A671D">
      <w:pPr>
        <w:pStyle w:val="TOC1"/>
        <w:rPr>
          <w:rFonts w:asciiTheme="minorHAnsi" w:eastAsiaTheme="minorEastAsia" w:hAnsiTheme="minorHAnsi" w:cstheme="minorBidi"/>
          <w:sz w:val="22"/>
          <w:lang w:eastAsia="en-AU"/>
        </w:rPr>
      </w:pPr>
      <w:hyperlink w:anchor="_Toc480278645" w:history="1">
        <w:r w:rsidR="008616EC" w:rsidRPr="00E35B95">
          <w:rPr>
            <w:rStyle w:val="Hyperlink"/>
          </w:rPr>
          <w:t>Removal of bodies from body bags or wrapping</w:t>
        </w:r>
        <w:r w:rsidR="008616EC">
          <w:rPr>
            <w:webHidden/>
          </w:rPr>
          <w:tab/>
        </w:r>
        <w:r w:rsidR="008616EC">
          <w:rPr>
            <w:webHidden/>
          </w:rPr>
          <w:fldChar w:fldCharType="begin"/>
        </w:r>
        <w:r w:rsidR="008616EC">
          <w:rPr>
            <w:webHidden/>
          </w:rPr>
          <w:instrText xml:space="preserve"> PAGEREF _Toc480278645 \h </w:instrText>
        </w:r>
        <w:r w:rsidR="008616EC">
          <w:rPr>
            <w:webHidden/>
          </w:rPr>
        </w:r>
        <w:r w:rsidR="008616EC">
          <w:rPr>
            <w:webHidden/>
          </w:rPr>
          <w:fldChar w:fldCharType="separate"/>
        </w:r>
        <w:r w:rsidR="008616EC">
          <w:rPr>
            <w:webHidden/>
          </w:rPr>
          <w:t>4</w:t>
        </w:r>
        <w:r w:rsidR="008616EC">
          <w:rPr>
            <w:webHidden/>
          </w:rPr>
          <w:fldChar w:fldCharType="end"/>
        </w:r>
      </w:hyperlink>
    </w:p>
    <w:p w:rsidR="008616EC" w:rsidRDefault="007A671D">
      <w:pPr>
        <w:pStyle w:val="TOC1"/>
        <w:rPr>
          <w:rFonts w:asciiTheme="minorHAnsi" w:eastAsiaTheme="minorEastAsia" w:hAnsiTheme="minorHAnsi" w:cstheme="minorBidi"/>
          <w:sz w:val="22"/>
          <w:lang w:eastAsia="en-AU"/>
        </w:rPr>
      </w:pPr>
      <w:hyperlink w:anchor="_Toc480278646" w:history="1">
        <w:r w:rsidR="008616EC" w:rsidRPr="00E35B95">
          <w:rPr>
            <w:rStyle w:val="Hyperlink"/>
          </w:rPr>
          <w:t>Body viewing</w:t>
        </w:r>
        <w:r w:rsidR="008616EC">
          <w:rPr>
            <w:webHidden/>
          </w:rPr>
          <w:tab/>
        </w:r>
        <w:r w:rsidR="008616EC">
          <w:rPr>
            <w:webHidden/>
          </w:rPr>
          <w:fldChar w:fldCharType="begin"/>
        </w:r>
        <w:r w:rsidR="008616EC">
          <w:rPr>
            <w:webHidden/>
          </w:rPr>
          <w:instrText xml:space="preserve"> PAGEREF _Toc480278646 \h </w:instrText>
        </w:r>
        <w:r w:rsidR="008616EC">
          <w:rPr>
            <w:webHidden/>
          </w:rPr>
        </w:r>
        <w:r w:rsidR="008616EC">
          <w:rPr>
            <w:webHidden/>
          </w:rPr>
          <w:fldChar w:fldCharType="separate"/>
        </w:r>
        <w:r w:rsidR="008616EC">
          <w:rPr>
            <w:webHidden/>
          </w:rPr>
          <w:t>5</w:t>
        </w:r>
        <w:r w:rsidR="008616EC">
          <w:rPr>
            <w:webHidden/>
          </w:rPr>
          <w:fldChar w:fldCharType="end"/>
        </w:r>
      </w:hyperlink>
    </w:p>
    <w:p w:rsidR="008616EC" w:rsidRDefault="007A671D">
      <w:pPr>
        <w:pStyle w:val="TOC1"/>
        <w:rPr>
          <w:rFonts w:asciiTheme="minorHAnsi" w:eastAsiaTheme="minorEastAsia" w:hAnsiTheme="minorHAnsi" w:cstheme="minorBidi"/>
          <w:sz w:val="22"/>
          <w:lang w:eastAsia="en-AU"/>
        </w:rPr>
      </w:pPr>
      <w:hyperlink w:anchor="_Toc480278647" w:history="1">
        <w:r w:rsidR="008616EC" w:rsidRPr="00E35B95">
          <w:rPr>
            <w:rStyle w:val="Hyperlink"/>
          </w:rPr>
          <w:t>Register of bodies</w:t>
        </w:r>
        <w:r w:rsidR="008616EC">
          <w:rPr>
            <w:webHidden/>
          </w:rPr>
          <w:tab/>
        </w:r>
        <w:r w:rsidR="008616EC">
          <w:rPr>
            <w:webHidden/>
          </w:rPr>
          <w:fldChar w:fldCharType="begin"/>
        </w:r>
        <w:r w:rsidR="008616EC">
          <w:rPr>
            <w:webHidden/>
          </w:rPr>
          <w:instrText xml:space="preserve"> PAGEREF _Toc480278647 \h </w:instrText>
        </w:r>
        <w:r w:rsidR="008616EC">
          <w:rPr>
            <w:webHidden/>
          </w:rPr>
        </w:r>
        <w:r w:rsidR="008616EC">
          <w:rPr>
            <w:webHidden/>
          </w:rPr>
          <w:fldChar w:fldCharType="separate"/>
        </w:r>
        <w:r w:rsidR="008616EC">
          <w:rPr>
            <w:webHidden/>
          </w:rPr>
          <w:t>5</w:t>
        </w:r>
        <w:r w:rsidR="008616EC">
          <w:rPr>
            <w:webHidden/>
          </w:rPr>
          <w:fldChar w:fldCharType="end"/>
        </w:r>
      </w:hyperlink>
    </w:p>
    <w:p w:rsidR="008616EC" w:rsidRDefault="007A671D">
      <w:pPr>
        <w:pStyle w:val="TOC1"/>
        <w:rPr>
          <w:rFonts w:asciiTheme="minorHAnsi" w:eastAsiaTheme="minorEastAsia" w:hAnsiTheme="minorHAnsi" w:cstheme="minorBidi"/>
          <w:sz w:val="22"/>
          <w:lang w:eastAsia="en-AU"/>
        </w:rPr>
      </w:pPr>
      <w:hyperlink w:anchor="_Toc480278648" w:history="1">
        <w:r w:rsidR="008616EC" w:rsidRPr="00E35B95">
          <w:rPr>
            <w:rStyle w:val="Hyperlink"/>
          </w:rPr>
          <w:t>Transport of bodies</w:t>
        </w:r>
        <w:r w:rsidR="008616EC">
          <w:rPr>
            <w:webHidden/>
          </w:rPr>
          <w:tab/>
        </w:r>
        <w:r w:rsidR="008616EC">
          <w:rPr>
            <w:webHidden/>
          </w:rPr>
          <w:fldChar w:fldCharType="begin"/>
        </w:r>
        <w:r w:rsidR="008616EC">
          <w:rPr>
            <w:webHidden/>
          </w:rPr>
          <w:instrText xml:space="preserve"> PAGEREF _Toc480278648 \h </w:instrText>
        </w:r>
        <w:r w:rsidR="008616EC">
          <w:rPr>
            <w:webHidden/>
          </w:rPr>
        </w:r>
        <w:r w:rsidR="008616EC">
          <w:rPr>
            <w:webHidden/>
          </w:rPr>
          <w:fldChar w:fldCharType="separate"/>
        </w:r>
        <w:r w:rsidR="008616EC">
          <w:rPr>
            <w:webHidden/>
          </w:rPr>
          <w:t>5</w:t>
        </w:r>
        <w:r w:rsidR="008616EC">
          <w:rPr>
            <w:webHidden/>
          </w:rPr>
          <w:fldChar w:fldCharType="end"/>
        </w:r>
      </w:hyperlink>
    </w:p>
    <w:p w:rsidR="000F3572" w:rsidRDefault="0064686E">
      <w:pPr>
        <w:rPr>
          <w:b/>
          <w:bCs/>
          <w:noProof/>
        </w:rPr>
      </w:pPr>
      <w:r>
        <w:rPr>
          <w:b/>
          <w:bCs/>
          <w:noProof/>
        </w:rPr>
        <w:fldChar w:fldCharType="end"/>
      </w:r>
    </w:p>
    <w:p w:rsidR="0064686E" w:rsidRDefault="000F3572" w:rsidP="000F3572">
      <w:pPr>
        <w:pStyle w:val="Subheadlines"/>
      </w:pPr>
      <w:r>
        <w:rPr>
          <w:noProof/>
        </w:rPr>
        <w:br w:type="page"/>
      </w:r>
    </w:p>
    <w:p w:rsidR="00116B67" w:rsidRDefault="00116B67" w:rsidP="002C7642">
      <w:pPr>
        <w:pStyle w:val="Heading1"/>
      </w:pPr>
      <w:bookmarkStart w:id="0" w:name="_Toc480278636"/>
      <w:r>
        <w:lastRenderedPageBreak/>
        <w:t>Definitions</w:t>
      </w:r>
      <w:bookmarkEnd w:id="0"/>
    </w:p>
    <w:p w:rsidR="00581255" w:rsidRDefault="00581255" w:rsidP="004401BA">
      <w:pPr>
        <w:rPr>
          <w:b/>
        </w:rPr>
      </w:pPr>
    </w:p>
    <w:p w:rsidR="004401BA" w:rsidRPr="00EB3C08" w:rsidRDefault="004401BA" w:rsidP="004401BA">
      <w:proofErr w:type="gramStart"/>
      <w:r w:rsidRPr="004D51BF">
        <w:rPr>
          <w:b/>
        </w:rPr>
        <w:t>body</w:t>
      </w:r>
      <w:proofErr w:type="gramEnd"/>
      <w:r w:rsidRPr="00EB3C08">
        <w:t xml:space="preserve"> means the body of a dead person, but does not include the cremated remains of the person. </w:t>
      </w:r>
    </w:p>
    <w:p w:rsidR="004401BA" w:rsidRPr="00EB3C08" w:rsidRDefault="004401BA" w:rsidP="004401BA">
      <w:proofErr w:type="gramStart"/>
      <w:r w:rsidRPr="004D51BF">
        <w:rPr>
          <w:b/>
        </w:rPr>
        <w:t>body</w:t>
      </w:r>
      <w:proofErr w:type="gramEnd"/>
      <w:r w:rsidRPr="004D51BF">
        <w:rPr>
          <w:b/>
        </w:rPr>
        <w:t xml:space="preserve"> preparation room</w:t>
      </w:r>
      <w:r w:rsidRPr="00EB3C08">
        <w:t xml:space="preserve"> means that part of a mortuary that is used for the preparation of bodies for burial or cremation. </w:t>
      </w:r>
    </w:p>
    <w:p w:rsidR="004401BA" w:rsidRPr="00EB3C08" w:rsidRDefault="004401BA" w:rsidP="004401BA">
      <w:proofErr w:type="gramStart"/>
      <w:r w:rsidRPr="004D51BF">
        <w:rPr>
          <w:b/>
        </w:rPr>
        <w:t>burial</w:t>
      </w:r>
      <w:proofErr w:type="gramEnd"/>
      <w:r w:rsidRPr="00EB3C08">
        <w:t xml:space="preserve"> includes putting in a vault. </w:t>
      </w:r>
    </w:p>
    <w:p w:rsidR="004401BA" w:rsidRPr="00EB3C08" w:rsidRDefault="004401BA" w:rsidP="004401BA">
      <w:proofErr w:type="gramStart"/>
      <w:r w:rsidRPr="00372E00">
        <w:rPr>
          <w:b/>
        </w:rPr>
        <w:t>dead</w:t>
      </w:r>
      <w:proofErr w:type="gramEnd"/>
      <w:r w:rsidRPr="00372E00">
        <w:rPr>
          <w:b/>
        </w:rPr>
        <w:t xml:space="preserve"> person</w:t>
      </w:r>
      <w:r w:rsidRPr="00EB3C08">
        <w:t xml:space="preserve"> includes a still-born child.</w:t>
      </w:r>
    </w:p>
    <w:p w:rsidR="004D51BF" w:rsidRDefault="004401BA" w:rsidP="004401BA">
      <w:proofErr w:type="gramStart"/>
      <w:r w:rsidRPr="004D51BF">
        <w:rPr>
          <w:b/>
        </w:rPr>
        <w:t>embalming</w:t>
      </w:r>
      <w:proofErr w:type="gramEnd"/>
      <w:r w:rsidRPr="00EB3C08">
        <w:t xml:space="preserve"> means the process of preserving a body by means of the removal of body fluids and arterially injecting the body with embalming fluids</w:t>
      </w:r>
    </w:p>
    <w:p w:rsidR="00581255" w:rsidRPr="00EB3C08" w:rsidRDefault="00581255" w:rsidP="004401BA">
      <w:r w:rsidRPr="004D51BF">
        <w:rPr>
          <w:b/>
        </w:rPr>
        <w:t>funeral director</w:t>
      </w:r>
      <w:r w:rsidRPr="00EB3C08">
        <w:t xml:space="preserve"> means a person (other than the operator of a mortuary transport service) who, in the conduct of the person’s business, engages, for the purpose of burial, cremation or transport, in the collection, transport, storage, preparation or embalming of bodies or engages in the conduct of exhumations</w:t>
      </w:r>
    </w:p>
    <w:p w:rsidR="004401BA" w:rsidRDefault="004401BA" w:rsidP="004401BA">
      <w:proofErr w:type="gramStart"/>
      <w:r w:rsidRPr="004D51BF">
        <w:rPr>
          <w:b/>
        </w:rPr>
        <w:t>holding</w:t>
      </w:r>
      <w:proofErr w:type="gramEnd"/>
      <w:r w:rsidRPr="004D51BF">
        <w:rPr>
          <w:b/>
        </w:rPr>
        <w:t xml:space="preserve"> room</w:t>
      </w:r>
      <w:r w:rsidRPr="00EB3C08">
        <w:t xml:space="preserve"> means a room that includes refrigerated body storage facilities for at least 2 adult bodies but does not include a body preparation room. </w:t>
      </w:r>
    </w:p>
    <w:p w:rsidR="004401BA" w:rsidRPr="00EB3C08" w:rsidRDefault="004401BA" w:rsidP="004401BA">
      <w:r w:rsidRPr="004D51BF">
        <w:rPr>
          <w:b/>
        </w:rPr>
        <w:t>mortuary</w:t>
      </w:r>
      <w:r w:rsidRPr="00EB3C08">
        <w:t xml:space="preserve"> means premises that are used, or intended to be used, for the preparation or storage of bodies as part of the arrangements for their burial or cremation, but does not include any premises (such as a hospital) in which bodies may be temporarily stored pending their transfer to a mortuary. </w:t>
      </w:r>
    </w:p>
    <w:p w:rsidR="004401BA" w:rsidRPr="00EB3C08" w:rsidRDefault="004401BA" w:rsidP="004401BA">
      <w:proofErr w:type="gramStart"/>
      <w:r w:rsidRPr="00372E00">
        <w:rPr>
          <w:b/>
        </w:rPr>
        <w:t>mortuary</w:t>
      </w:r>
      <w:proofErr w:type="gramEnd"/>
      <w:r w:rsidRPr="00372E00">
        <w:rPr>
          <w:b/>
        </w:rPr>
        <w:t xml:space="preserve"> transport service</w:t>
      </w:r>
      <w:r w:rsidRPr="00EB3C08">
        <w:t xml:space="preserve"> means a service that, for fee, gain or reward, transports bodies</w:t>
      </w:r>
    </w:p>
    <w:p w:rsidR="00184E59" w:rsidRPr="00C0263E" w:rsidRDefault="00372E00" w:rsidP="00184E59">
      <w:proofErr w:type="gramStart"/>
      <w:r>
        <w:rPr>
          <w:b/>
        </w:rPr>
        <w:t>r</w:t>
      </w:r>
      <w:r w:rsidR="00C0263E">
        <w:rPr>
          <w:b/>
        </w:rPr>
        <w:t>efrigerated</w:t>
      </w:r>
      <w:proofErr w:type="gramEnd"/>
      <w:r w:rsidR="00C0263E">
        <w:rPr>
          <w:b/>
        </w:rPr>
        <w:t xml:space="preserve"> body storage facility </w:t>
      </w:r>
      <w:r w:rsidR="00C0263E" w:rsidRPr="00C0263E">
        <w:t>means a storage facility for bodies maintained at between 1 and 5 degrees Celsius.</w:t>
      </w:r>
    </w:p>
    <w:p w:rsidR="004B0B82" w:rsidRDefault="004B0B82" w:rsidP="002C7642">
      <w:pPr>
        <w:pStyle w:val="Heading1"/>
      </w:pPr>
      <w:bookmarkStart w:id="1" w:name="_Toc480278637"/>
      <w:r w:rsidRPr="004B0B82">
        <w:t>Legislation</w:t>
      </w:r>
      <w:bookmarkEnd w:id="1"/>
      <w:r w:rsidRPr="00BB4E5A">
        <w:t xml:space="preserve"> </w:t>
      </w:r>
    </w:p>
    <w:p w:rsidR="005B1846" w:rsidRDefault="005B1846" w:rsidP="005B1846">
      <w:r>
        <w:t>These requirements are to be read in conjunction with:</w:t>
      </w:r>
    </w:p>
    <w:p w:rsidR="00E77DD4" w:rsidRPr="00536384" w:rsidRDefault="005B1846" w:rsidP="005B1846">
      <w:pPr>
        <w:pStyle w:val="ListParagraph"/>
        <w:numPr>
          <w:ilvl w:val="0"/>
          <w:numId w:val="16"/>
        </w:numPr>
      </w:pPr>
      <w:r w:rsidRPr="00536384">
        <w:rPr>
          <w:i/>
        </w:rPr>
        <w:t xml:space="preserve">Public Health </w:t>
      </w:r>
      <w:r w:rsidR="002A339A" w:rsidRPr="00536384">
        <w:rPr>
          <w:i/>
        </w:rPr>
        <w:t>Act 2016</w:t>
      </w:r>
      <w:r w:rsidR="00E77DD4" w:rsidRPr="00536384">
        <w:t xml:space="preserve"> </w:t>
      </w:r>
      <w:r w:rsidR="005352E7" w:rsidRPr="00536384">
        <w:t xml:space="preserve">and </w:t>
      </w:r>
      <w:r w:rsidR="005352E7" w:rsidRPr="00536384">
        <w:rPr>
          <w:i/>
        </w:rPr>
        <w:t>Health</w:t>
      </w:r>
      <w:r w:rsidR="00536384" w:rsidRPr="00536384">
        <w:rPr>
          <w:i/>
        </w:rPr>
        <w:t xml:space="preserve"> (Miscellaneous Provisions)</w:t>
      </w:r>
      <w:r w:rsidR="005352E7" w:rsidRPr="00536384">
        <w:rPr>
          <w:i/>
        </w:rPr>
        <w:t xml:space="preserve"> Act 1911</w:t>
      </w:r>
    </w:p>
    <w:p w:rsidR="00C0263E" w:rsidRDefault="00C0263E" w:rsidP="007A671D">
      <w:pPr>
        <w:pStyle w:val="ListParagraph"/>
        <w:numPr>
          <w:ilvl w:val="0"/>
          <w:numId w:val="16"/>
        </w:numPr>
      </w:pPr>
      <w:r w:rsidRPr="000B39F0">
        <w:rPr>
          <w:i/>
        </w:rPr>
        <w:t>Health (Skin Penetration Procedure) Regulations 1998</w:t>
      </w:r>
      <w:r>
        <w:t xml:space="preserve"> and the </w:t>
      </w:r>
      <w:r w:rsidR="007A671D">
        <w:t xml:space="preserve">Code of Practice for </w:t>
      </w:r>
      <w:r>
        <w:t xml:space="preserve">Skin Penetration </w:t>
      </w:r>
      <w:r w:rsidR="007A671D">
        <w:t>Procedures</w:t>
      </w:r>
      <w:r w:rsidR="007A671D" w:rsidRPr="007A671D">
        <w:t xml:space="preserve"> </w:t>
      </w:r>
      <w:hyperlink r:id="rId11" w:history="1">
        <w:r w:rsidR="007A671D" w:rsidRPr="009F1E93">
          <w:rPr>
            <w:rStyle w:val="Hyperlink"/>
          </w:rPr>
          <w:t>https://ww2.health.wa.gov.au/Articles/S_T/Skin-penetration-procedures-and-the-law</w:t>
        </w:r>
      </w:hyperlink>
      <w:r w:rsidR="007A671D">
        <w:t xml:space="preserve"> </w:t>
      </w:r>
    </w:p>
    <w:p w:rsidR="00C0263E" w:rsidRDefault="00C0263E" w:rsidP="00C0263E">
      <w:pPr>
        <w:pStyle w:val="ListParagraph"/>
        <w:numPr>
          <w:ilvl w:val="0"/>
          <w:numId w:val="20"/>
        </w:numPr>
      </w:pPr>
      <w:r>
        <w:t xml:space="preserve">Australian Guidelines for the Prevention and Control of Infection in Healthcare (section B1) published by the National Health and Medical Research Council  </w:t>
      </w:r>
    </w:p>
    <w:p w:rsidR="00C0263E" w:rsidRDefault="007A671D" w:rsidP="00C0263E">
      <w:pPr>
        <w:pStyle w:val="ListParagraph"/>
      </w:pPr>
      <w:hyperlink r:id="rId12" w:history="1">
        <w:r w:rsidRPr="009F1E93">
          <w:rPr>
            <w:rStyle w:val="Hyperlink"/>
          </w:rPr>
          <w:t>https://nhmrc.gov.au/about-us/publications/australian-guidelines-prevention-and-control-infection-healthcare-2010</w:t>
        </w:r>
      </w:hyperlink>
      <w:r>
        <w:t xml:space="preserve"> </w:t>
      </w:r>
    </w:p>
    <w:p w:rsidR="00843981" w:rsidRPr="005B1846" w:rsidRDefault="00843981" w:rsidP="00843981">
      <w:pPr>
        <w:pStyle w:val="ListParagraph"/>
      </w:pPr>
    </w:p>
    <w:p w:rsidR="005915A3" w:rsidRDefault="005915A3" w:rsidP="002C7642">
      <w:pPr>
        <w:pStyle w:val="Heading1"/>
        <w:rPr>
          <w:sz w:val="28"/>
          <w:szCs w:val="26"/>
        </w:rPr>
      </w:pPr>
      <w:bookmarkStart w:id="2" w:name="_Toc480278638"/>
      <w:r>
        <w:rPr>
          <w:sz w:val="28"/>
          <w:szCs w:val="26"/>
        </w:rPr>
        <w:t>Introduction</w:t>
      </w:r>
      <w:bookmarkEnd w:id="2"/>
    </w:p>
    <w:p w:rsidR="005352E7" w:rsidRDefault="00C676CE" w:rsidP="005915A3">
      <w:r>
        <w:t xml:space="preserve">The Funeral Industry is largely regulated by Local Government but the </w:t>
      </w:r>
      <w:r w:rsidR="00536384" w:rsidRPr="00536384">
        <w:rPr>
          <w:i/>
        </w:rPr>
        <w:t>Public Health Act 2016</w:t>
      </w:r>
      <w:r w:rsidR="00536384" w:rsidRPr="00536384">
        <w:t xml:space="preserve"> and </w:t>
      </w:r>
      <w:r w:rsidR="00536384" w:rsidRPr="00536384">
        <w:rPr>
          <w:i/>
        </w:rPr>
        <w:t>Health (Miscellaneous Provisions) Act 1911</w:t>
      </w:r>
      <w:r w:rsidR="00536384">
        <w:rPr>
          <w:i/>
        </w:rPr>
        <w:t xml:space="preserve"> </w:t>
      </w:r>
      <w:r>
        <w:t xml:space="preserve">provide important legislation intended to ensure that Public Health principles are applied to the practice of preparing the deceased for </w:t>
      </w:r>
      <w:r>
        <w:lastRenderedPageBreak/>
        <w:t xml:space="preserve">burial or cremation. </w:t>
      </w:r>
      <w:r w:rsidR="00F94E11">
        <w:t xml:space="preserve">The </w:t>
      </w:r>
      <w:r w:rsidR="002A339A">
        <w:t>‘</w:t>
      </w:r>
      <w:r w:rsidR="00BB0007">
        <w:t>Guidelines</w:t>
      </w:r>
      <w:r w:rsidR="00F94E11">
        <w:t xml:space="preserve"> for the </w:t>
      </w:r>
      <w:r w:rsidR="002A339A">
        <w:t xml:space="preserve">preparation of the deceased for burial and cremation’ (the </w:t>
      </w:r>
      <w:r w:rsidR="00BB0007">
        <w:t>Guidelines</w:t>
      </w:r>
      <w:r w:rsidR="002A339A">
        <w:t>)</w:t>
      </w:r>
      <w:r>
        <w:t xml:space="preserve"> ha</w:t>
      </w:r>
      <w:r w:rsidR="00BB0007">
        <w:t>ve</w:t>
      </w:r>
      <w:r>
        <w:t xml:space="preserve"> been </w:t>
      </w:r>
      <w:r w:rsidR="00F94E11">
        <w:t xml:space="preserve">developed </w:t>
      </w:r>
      <w:r>
        <w:t>to set out the minimum requirements that are expected of the Funeral Industry</w:t>
      </w:r>
      <w:r w:rsidR="005352E7">
        <w:t>.</w:t>
      </w:r>
      <w:r>
        <w:t xml:space="preserve"> </w:t>
      </w:r>
    </w:p>
    <w:p w:rsidR="00C676CE" w:rsidRDefault="00C676CE" w:rsidP="005915A3">
      <w:r>
        <w:t xml:space="preserve">The </w:t>
      </w:r>
      <w:r w:rsidR="00BB0007">
        <w:t>Guidelines</w:t>
      </w:r>
      <w:r>
        <w:t xml:space="preserve"> do not replace other official guidelines provided for the Funeral Industry but should be read in conjunction with the</w:t>
      </w:r>
      <w:r w:rsidR="00BB0007">
        <w:t>m</w:t>
      </w:r>
      <w:r>
        <w:t>.</w:t>
      </w:r>
    </w:p>
    <w:p w:rsidR="00C676CE" w:rsidRPr="005915A3" w:rsidRDefault="00C676CE" w:rsidP="005915A3">
      <w:r>
        <w:t xml:space="preserve">The </w:t>
      </w:r>
      <w:r w:rsidR="00BB0007">
        <w:t>Guidelines</w:t>
      </w:r>
      <w:r>
        <w:t>, which w</w:t>
      </w:r>
      <w:r w:rsidR="00BB0007">
        <w:t>ere</w:t>
      </w:r>
      <w:r>
        <w:t xml:space="preserve"> prepared by the Public Health Division of the Department of Health (DOH) Western Australia (WA) in conjunction with the Funeral Industry, </w:t>
      </w:r>
      <w:r w:rsidR="00BB0007">
        <w:t>are</w:t>
      </w:r>
      <w:r w:rsidR="009334DD">
        <w:t xml:space="preserve"> published by the </w:t>
      </w:r>
      <w:r w:rsidR="00BB0007">
        <w:t>Deputy Chief Health Officer</w:t>
      </w:r>
      <w:r w:rsidR="009334DD">
        <w:t>.</w:t>
      </w:r>
    </w:p>
    <w:p w:rsidR="004B0B82" w:rsidRPr="006117A1" w:rsidRDefault="005915A3" w:rsidP="002C7642">
      <w:pPr>
        <w:pStyle w:val="Heading1"/>
        <w:rPr>
          <w:sz w:val="28"/>
          <w:szCs w:val="26"/>
        </w:rPr>
      </w:pPr>
      <w:bookmarkStart w:id="3" w:name="_Toc480278639"/>
      <w:r>
        <w:rPr>
          <w:sz w:val="28"/>
          <w:szCs w:val="26"/>
        </w:rPr>
        <w:t>Fa</w:t>
      </w:r>
      <w:r w:rsidR="004B0B82" w:rsidRPr="006117A1">
        <w:rPr>
          <w:sz w:val="28"/>
          <w:szCs w:val="26"/>
        </w:rPr>
        <w:t>cilities</w:t>
      </w:r>
      <w:bookmarkEnd w:id="3"/>
      <w:r w:rsidR="004B0B82" w:rsidRPr="006117A1">
        <w:rPr>
          <w:sz w:val="28"/>
          <w:szCs w:val="26"/>
        </w:rPr>
        <w:t xml:space="preserve"> </w:t>
      </w:r>
    </w:p>
    <w:p w:rsidR="006117A1" w:rsidRPr="00536384" w:rsidRDefault="00536384" w:rsidP="006117A1">
      <w:r w:rsidRPr="00536384">
        <w:t>A</w:t>
      </w:r>
      <w:r w:rsidR="006117A1" w:rsidRPr="00536384">
        <w:t xml:space="preserve">ll premises to be used </w:t>
      </w:r>
      <w:r w:rsidR="000278D7">
        <w:t>to receive and store</w:t>
      </w:r>
      <w:r w:rsidR="006117A1" w:rsidRPr="00536384">
        <w:t xml:space="preserve"> bodies of the dead must be licensed and the responsibility for licensi</w:t>
      </w:r>
      <w:r w:rsidR="005915A3" w:rsidRPr="00536384">
        <w:t>ng rests with Local Government.</w:t>
      </w:r>
      <w:r w:rsidR="006117A1" w:rsidRPr="00536384">
        <w:t xml:space="preserve"> </w:t>
      </w:r>
    </w:p>
    <w:p w:rsidR="004B0B82" w:rsidRDefault="004B0B82" w:rsidP="004B0B82">
      <w:pPr>
        <w:pStyle w:val="Heading1"/>
        <w:rPr>
          <w:sz w:val="28"/>
          <w:szCs w:val="26"/>
        </w:rPr>
      </w:pPr>
      <w:bookmarkStart w:id="4" w:name="_Toc480278640"/>
      <w:r w:rsidRPr="004B0B82">
        <w:rPr>
          <w:sz w:val="28"/>
          <w:szCs w:val="26"/>
        </w:rPr>
        <w:t xml:space="preserve">Retention of bodies </w:t>
      </w:r>
      <w:r w:rsidR="0099688E">
        <w:rPr>
          <w:sz w:val="28"/>
          <w:szCs w:val="26"/>
        </w:rPr>
        <w:t>by a person who is not a funeral director</w:t>
      </w:r>
      <w:bookmarkEnd w:id="4"/>
    </w:p>
    <w:p w:rsidR="005915A3" w:rsidRDefault="004B0B82" w:rsidP="005915A3">
      <w:pPr>
        <w:pStyle w:val="ListParagraph"/>
        <w:numPr>
          <w:ilvl w:val="0"/>
          <w:numId w:val="24"/>
        </w:numPr>
      </w:pPr>
      <w:r w:rsidRPr="007A2078">
        <w:t>A person</w:t>
      </w:r>
      <w:r w:rsidR="006117A1">
        <w:t xml:space="preserve"> who is not a Funeral Director </w:t>
      </w:r>
      <w:r w:rsidRPr="007A2078">
        <w:t>must not retain a body if more than 5 days have elapsed since death.</w:t>
      </w:r>
    </w:p>
    <w:p w:rsidR="006117A1" w:rsidRDefault="00C0263E" w:rsidP="005915A3">
      <w:pPr>
        <w:pStyle w:val="ListParagraph"/>
        <w:numPr>
          <w:ilvl w:val="0"/>
          <w:numId w:val="24"/>
        </w:numPr>
      </w:pPr>
      <w:r>
        <w:t xml:space="preserve">The </w:t>
      </w:r>
      <w:r w:rsidR="005352E7">
        <w:t>C</w:t>
      </w:r>
      <w:r w:rsidR="00BB0007">
        <w:t>hief Health Officer (C</w:t>
      </w:r>
      <w:r w:rsidR="005352E7">
        <w:t>HO</w:t>
      </w:r>
      <w:r w:rsidR="00BB0007">
        <w:t>)</w:t>
      </w:r>
      <w:r w:rsidR="006117A1">
        <w:t xml:space="preserve"> may approve, in a particular case, of a body being retained for longer than 5 days, subject to any conditions that the </w:t>
      </w:r>
      <w:r w:rsidR="005352E7">
        <w:t>CHO</w:t>
      </w:r>
      <w:r w:rsidR="006117A1">
        <w:t xml:space="preserve"> considers appropriate.</w:t>
      </w:r>
    </w:p>
    <w:p w:rsidR="000278D7" w:rsidRDefault="000278D7" w:rsidP="000278D7">
      <w:pPr>
        <w:pStyle w:val="ListParagraph"/>
        <w:numPr>
          <w:ilvl w:val="0"/>
          <w:numId w:val="24"/>
        </w:numPr>
      </w:pPr>
      <w:r>
        <w:t xml:space="preserve">If human remains are to be placed into storage, the person responsible for that storage must first place the human remains in a coffin, container or tray capable of – </w:t>
      </w:r>
    </w:p>
    <w:p w:rsidR="000278D7" w:rsidRDefault="000278D7" w:rsidP="001E6DB3">
      <w:pPr>
        <w:pStyle w:val="ListParagraph"/>
        <w:numPr>
          <w:ilvl w:val="0"/>
          <w:numId w:val="29"/>
        </w:numPr>
      </w:pPr>
      <w:r>
        <w:t xml:space="preserve">Ensuring that the escape of bodily discharges, contaminants or infectious materials is prevented or confined to that coffin, container or tray; and </w:t>
      </w:r>
    </w:p>
    <w:p w:rsidR="000278D7" w:rsidRDefault="000278D7" w:rsidP="001E6DB3">
      <w:pPr>
        <w:pStyle w:val="ListParagraph"/>
        <w:numPr>
          <w:ilvl w:val="0"/>
          <w:numId w:val="29"/>
        </w:numPr>
      </w:pPr>
      <w:r>
        <w:t>Protecting any person who comes into contact with the coffin, container or tray from bodily discharges, contaminants or infectious materials</w:t>
      </w:r>
    </w:p>
    <w:p w:rsidR="000278D7" w:rsidRDefault="000278D7" w:rsidP="005915A3">
      <w:pPr>
        <w:pStyle w:val="ListParagraph"/>
        <w:numPr>
          <w:ilvl w:val="0"/>
          <w:numId w:val="24"/>
        </w:numPr>
      </w:pPr>
      <w:r>
        <w:t>A person responsible for the storage of human remains must ensure that the human remains, or the storage facility in which the human remains are placed, is brought to and maintained at a temperature not exceeding 5 degrees Celsius as soon as practicable after the custody of the human remains becomes that person’s responsibility.</w:t>
      </w:r>
    </w:p>
    <w:p w:rsidR="000278D7" w:rsidRDefault="000278D7" w:rsidP="005915A3">
      <w:pPr>
        <w:pStyle w:val="ListParagraph"/>
        <w:numPr>
          <w:ilvl w:val="0"/>
          <w:numId w:val="24"/>
        </w:numPr>
      </w:pPr>
      <w:r>
        <w:t>The maximum time permitted for unembalmed human remains to be stored without refrigeration is 24 hours.</w:t>
      </w:r>
    </w:p>
    <w:p w:rsidR="006117A1" w:rsidRDefault="006117A1" w:rsidP="005915A3">
      <w:pPr>
        <w:pStyle w:val="ListParagraph"/>
        <w:numPr>
          <w:ilvl w:val="0"/>
          <w:numId w:val="24"/>
        </w:numPr>
      </w:pPr>
      <w:r>
        <w:t xml:space="preserve">This clause does not apply to a body that is stored at premises licensed under the </w:t>
      </w:r>
      <w:r w:rsidRPr="00536384">
        <w:rPr>
          <w:i/>
        </w:rPr>
        <w:t>Anatomy A</w:t>
      </w:r>
      <w:r w:rsidR="00C0263E" w:rsidRPr="00536384">
        <w:rPr>
          <w:i/>
        </w:rPr>
        <w:t>c</w:t>
      </w:r>
      <w:r w:rsidRPr="00536384">
        <w:rPr>
          <w:i/>
        </w:rPr>
        <w:t>t 1930</w:t>
      </w:r>
      <w:r>
        <w:t xml:space="preserve"> </w:t>
      </w:r>
      <w:proofErr w:type="gramStart"/>
      <w:r>
        <w:t>or</w:t>
      </w:r>
      <w:proofErr w:type="gramEnd"/>
      <w:r>
        <w:t xml:space="preserve"> </w:t>
      </w:r>
      <w:r w:rsidR="00536384">
        <w:t xml:space="preserve">is </w:t>
      </w:r>
      <w:r>
        <w:t xml:space="preserve">the subject of the </w:t>
      </w:r>
      <w:r w:rsidRPr="00536384">
        <w:rPr>
          <w:i/>
        </w:rPr>
        <w:t xml:space="preserve">Coroners Act </w:t>
      </w:r>
      <w:r w:rsidR="00C0263E" w:rsidRPr="00536384">
        <w:rPr>
          <w:i/>
        </w:rPr>
        <w:t>1996</w:t>
      </w:r>
      <w:r w:rsidR="00C0263E">
        <w:t>.</w:t>
      </w:r>
    </w:p>
    <w:p w:rsidR="0099688E" w:rsidRPr="0099688E" w:rsidRDefault="0099688E" w:rsidP="0099688E">
      <w:pPr>
        <w:pStyle w:val="Heading1"/>
        <w:rPr>
          <w:sz w:val="28"/>
          <w:szCs w:val="26"/>
        </w:rPr>
      </w:pPr>
      <w:bookmarkStart w:id="5" w:name="_Toc480278641"/>
      <w:r w:rsidRPr="0099688E">
        <w:rPr>
          <w:sz w:val="28"/>
          <w:szCs w:val="26"/>
        </w:rPr>
        <w:t>R</w:t>
      </w:r>
      <w:r>
        <w:rPr>
          <w:sz w:val="28"/>
          <w:szCs w:val="26"/>
        </w:rPr>
        <w:t>etention of bodies by</w:t>
      </w:r>
      <w:r w:rsidRPr="0099688E">
        <w:rPr>
          <w:sz w:val="28"/>
          <w:szCs w:val="26"/>
        </w:rPr>
        <w:t xml:space="preserve"> a funeral director</w:t>
      </w:r>
      <w:bookmarkEnd w:id="5"/>
    </w:p>
    <w:p w:rsidR="0099688E" w:rsidRDefault="0099688E" w:rsidP="007A2078">
      <w:pPr>
        <w:pStyle w:val="ListParagraph"/>
        <w:numPr>
          <w:ilvl w:val="0"/>
          <w:numId w:val="8"/>
        </w:numPr>
      </w:pPr>
      <w:r>
        <w:t>A funeral director must retain a body:</w:t>
      </w:r>
    </w:p>
    <w:p w:rsidR="0099688E" w:rsidRDefault="007A671D" w:rsidP="0099688E">
      <w:pPr>
        <w:pStyle w:val="ListParagraph"/>
        <w:numPr>
          <w:ilvl w:val="0"/>
          <w:numId w:val="18"/>
        </w:numPr>
      </w:pPr>
      <w:r>
        <w:t>i</w:t>
      </w:r>
      <w:r w:rsidR="0099688E">
        <w:t>n a refrigerated body storage facility</w:t>
      </w:r>
      <w:r>
        <w:t>,</w:t>
      </w:r>
      <w:r w:rsidR="0099688E">
        <w:t xml:space="preserve"> and</w:t>
      </w:r>
    </w:p>
    <w:p w:rsidR="0099688E" w:rsidRDefault="007A671D" w:rsidP="0099688E">
      <w:pPr>
        <w:pStyle w:val="ListParagraph"/>
        <w:numPr>
          <w:ilvl w:val="0"/>
          <w:numId w:val="18"/>
        </w:numPr>
      </w:pPr>
      <w:proofErr w:type="gramStart"/>
      <w:r>
        <w:t>i</w:t>
      </w:r>
      <w:r w:rsidR="0099688E">
        <w:t>n</w:t>
      </w:r>
      <w:proofErr w:type="gramEnd"/>
      <w:r w:rsidR="0099688E">
        <w:t xml:space="preserve"> a mortuary or holding room</w:t>
      </w:r>
      <w:r w:rsidR="00C0263E">
        <w:t>.</w:t>
      </w:r>
    </w:p>
    <w:p w:rsidR="0099688E" w:rsidRDefault="0099688E" w:rsidP="007A2078">
      <w:pPr>
        <w:pStyle w:val="ListParagraph"/>
        <w:numPr>
          <w:ilvl w:val="0"/>
          <w:numId w:val="8"/>
        </w:numPr>
      </w:pPr>
      <w:r>
        <w:t>A funeral director may cause the body to be removed from a refrigerated body storage facility:</w:t>
      </w:r>
    </w:p>
    <w:p w:rsidR="0099688E" w:rsidRDefault="007A671D" w:rsidP="0099688E">
      <w:pPr>
        <w:pStyle w:val="ListParagraph"/>
        <w:numPr>
          <w:ilvl w:val="0"/>
          <w:numId w:val="19"/>
        </w:numPr>
      </w:pPr>
      <w:r>
        <w:t>t</w:t>
      </w:r>
      <w:r w:rsidR="0099688E">
        <w:t>o another part of the mortuary, for a maximum of 8 hours a day for the purposes of preparing the body for burial or cremation, embalming the body or v</w:t>
      </w:r>
      <w:r>
        <w:t>iewing of the body by mourners,</w:t>
      </w:r>
      <w:r w:rsidR="005915A3">
        <w:t xml:space="preserve"> </w:t>
      </w:r>
      <w:r w:rsidR="0099688E">
        <w:t>or</w:t>
      </w:r>
    </w:p>
    <w:p w:rsidR="0099688E" w:rsidRDefault="007A671D" w:rsidP="0099688E">
      <w:pPr>
        <w:pStyle w:val="ListParagraph"/>
        <w:numPr>
          <w:ilvl w:val="0"/>
          <w:numId w:val="19"/>
        </w:numPr>
      </w:pPr>
      <w:r>
        <w:t>f</w:t>
      </w:r>
      <w:r w:rsidR="0099688E">
        <w:t xml:space="preserve">or the purpose of transporting the body for burial, interment or </w:t>
      </w:r>
      <w:r w:rsidR="00C0263E">
        <w:t>cremation</w:t>
      </w:r>
      <w:r>
        <w:t>,</w:t>
      </w:r>
      <w:r w:rsidR="0099688E">
        <w:t xml:space="preserve"> or</w:t>
      </w:r>
    </w:p>
    <w:p w:rsidR="0099688E" w:rsidRDefault="007A671D" w:rsidP="0099688E">
      <w:pPr>
        <w:pStyle w:val="ListParagraph"/>
        <w:numPr>
          <w:ilvl w:val="0"/>
          <w:numId w:val="19"/>
        </w:numPr>
      </w:pPr>
      <w:proofErr w:type="gramStart"/>
      <w:r>
        <w:t>f</w:t>
      </w:r>
      <w:r w:rsidR="0099688E">
        <w:t>or</w:t>
      </w:r>
      <w:proofErr w:type="gramEnd"/>
      <w:r w:rsidR="0099688E">
        <w:t xml:space="preserve"> the purpose of transporting the body to another mortuary</w:t>
      </w:r>
      <w:r w:rsidR="00C0263E">
        <w:t>.</w:t>
      </w:r>
    </w:p>
    <w:p w:rsidR="003325C9" w:rsidRPr="00815E18" w:rsidRDefault="007A671D" w:rsidP="007A671D">
      <w:pPr>
        <w:pStyle w:val="ListParagraph"/>
        <w:numPr>
          <w:ilvl w:val="0"/>
          <w:numId w:val="8"/>
        </w:numPr>
      </w:pPr>
      <w:r>
        <w:t>I</w:t>
      </w:r>
      <w:r w:rsidR="003325C9" w:rsidRPr="00815E18">
        <w:t xml:space="preserve">f a full embalming of the deceased has occurred, removal from refrigerated storage for the purposes of funeral rites for up to </w:t>
      </w:r>
      <w:r w:rsidR="000278D7">
        <w:t>three</w:t>
      </w:r>
      <w:r w:rsidR="000278D7" w:rsidRPr="00815E18">
        <w:t xml:space="preserve"> </w:t>
      </w:r>
      <w:r w:rsidR="003325C9" w:rsidRPr="00815E18">
        <w:t xml:space="preserve">days </w:t>
      </w:r>
      <w:r w:rsidR="000278D7">
        <w:t xml:space="preserve">(72 hours) </w:t>
      </w:r>
      <w:r w:rsidR="003325C9" w:rsidRPr="00815E18">
        <w:t xml:space="preserve">may be considered. In these </w:t>
      </w:r>
      <w:r w:rsidR="003325C9" w:rsidRPr="00815E18">
        <w:lastRenderedPageBreak/>
        <w:t xml:space="preserve">cases the funeral director and family of the deceased must work in conjunction to ensure appropriate environmental management and respectful placement of the deceased. </w:t>
      </w:r>
    </w:p>
    <w:p w:rsidR="00C0263E" w:rsidRPr="002D2940" w:rsidRDefault="00C0263E" w:rsidP="00C0263E">
      <w:pPr>
        <w:pStyle w:val="Heading1"/>
        <w:rPr>
          <w:sz w:val="28"/>
          <w:szCs w:val="26"/>
        </w:rPr>
      </w:pPr>
      <w:bookmarkStart w:id="6" w:name="_Toc480278642"/>
      <w:r w:rsidRPr="002D2940">
        <w:rPr>
          <w:sz w:val="28"/>
          <w:szCs w:val="26"/>
        </w:rPr>
        <w:t>Embalming of bodies</w:t>
      </w:r>
      <w:bookmarkEnd w:id="6"/>
    </w:p>
    <w:p w:rsidR="00C0263E" w:rsidRPr="00815E18" w:rsidRDefault="00C0263E" w:rsidP="00C0263E">
      <w:pPr>
        <w:pStyle w:val="ListParagraph"/>
        <w:numPr>
          <w:ilvl w:val="0"/>
          <w:numId w:val="20"/>
        </w:numPr>
      </w:pPr>
      <w:r w:rsidRPr="007F5A6B">
        <w:t xml:space="preserve">A person must not embalm a body unless that person has </w:t>
      </w:r>
      <w:r w:rsidR="007F5A6B" w:rsidRPr="007F5A6B">
        <w:t>a current certificate of proficiency</w:t>
      </w:r>
      <w:r w:rsidRPr="007F5A6B">
        <w:t xml:space="preserve"> </w:t>
      </w:r>
      <w:r w:rsidR="007F5A6B" w:rsidRPr="007F5A6B">
        <w:t>recognised by the Au</w:t>
      </w:r>
      <w:r w:rsidR="005915A3">
        <w:t>stralian Institute of Embalming</w:t>
      </w:r>
      <w:r w:rsidR="005915A3" w:rsidRPr="00815E18">
        <w:t xml:space="preserve">; </w:t>
      </w:r>
      <w:r w:rsidR="003325C9" w:rsidRPr="00815E18">
        <w:t xml:space="preserve">or is undergoing training or mentoring towards achieving this qualification. </w:t>
      </w:r>
    </w:p>
    <w:p w:rsidR="00C0263E" w:rsidRDefault="00C0263E" w:rsidP="00C0263E">
      <w:pPr>
        <w:pStyle w:val="ListParagraph"/>
        <w:numPr>
          <w:ilvl w:val="0"/>
          <w:numId w:val="20"/>
        </w:numPr>
      </w:pPr>
      <w:r>
        <w:t xml:space="preserve">A person must, when carrying out a skin penetration procedure, comply with the </w:t>
      </w:r>
      <w:r w:rsidRPr="00536384">
        <w:rPr>
          <w:i/>
        </w:rPr>
        <w:t>Health (Skin Penetration Procedure) Regulations 1998</w:t>
      </w:r>
      <w:r>
        <w:t xml:space="preserve"> and the </w:t>
      </w:r>
      <w:r w:rsidR="007A671D">
        <w:t>Code of Practice for Skin Penetration Procedures</w:t>
      </w:r>
      <w:r w:rsidR="007A671D">
        <w:t>.</w:t>
      </w:r>
    </w:p>
    <w:p w:rsidR="00A052A9" w:rsidRDefault="00A052A9" w:rsidP="00A052A9">
      <w:pPr>
        <w:pStyle w:val="Heading1"/>
        <w:rPr>
          <w:sz w:val="28"/>
          <w:szCs w:val="26"/>
        </w:rPr>
      </w:pPr>
      <w:bookmarkStart w:id="7" w:name="_Toc480278643"/>
      <w:r w:rsidRPr="004B0B82">
        <w:rPr>
          <w:sz w:val="28"/>
          <w:szCs w:val="26"/>
        </w:rPr>
        <w:t>Infection control procedures</w:t>
      </w:r>
      <w:bookmarkEnd w:id="7"/>
    </w:p>
    <w:p w:rsidR="00C0263E" w:rsidRPr="00E43210" w:rsidRDefault="00A052A9" w:rsidP="004B0B82">
      <w:pPr>
        <w:pStyle w:val="ListParagraph"/>
        <w:numPr>
          <w:ilvl w:val="0"/>
          <w:numId w:val="20"/>
        </w:numPr>
        <w:rPr>
          <w:rFonts w:eastAsia="Times New Roman"/>
          <w:b/>
          <w:bCs/>
          <w:sz w:val="28"/>
          <w:szCs w:val="26"/>
        </w:rPr>
      </w:pPr>
      <w:r w:rsidRPr="00E43210">
        <w:t>A person must, when carrying out any procedure on a body, comply with the guidelines specified in the Australian Guidelines for the Prevention and Control of Infection in Healthcare (section B1) published by the National Healt</w:t>
      </w:r>
      <w:r w:rsidR="00C0263E" w:rsidRPr="00E43210">
        <w:t>h and Medical Research Council</w:t>
      </w:r>
      <w:r w:rsidR="007A671D">
        <w:t>.</w:t>
      </w:r>
    </w:p>
    <w:p w:rsidR="004B0B82" w:rsidRPr="00C0263E" w:rsidRDefault="004B0B82" w:rsidP="00C0263E">
      <w:pPr>
        <w:pStyle w:val="Heading1"/>
        <w:rPr>
          <w:sz w:val="28"/>
          <w:szCs w:val="26"/>
        </w:rPr>
      </w:pPr>
      <w:bookmarkStart w:id="8" w:name="_Toc480278644"/>
      <w:r w:rsidRPr="00C0263E">
        <w:rPr>
          <w:sz w:val="28"/>
          <w:szCs w:val="26"/>
        </w:rPr>
        <w:t>Bodies to be place in body bags</w:t>
      </w:r>
      <w:r w:rsidR="0031199F">
        <w:rPr>
          <w:sz w:val="28"/>
          <w:szCs w:val="26"/>
        </w:rPr>
        <w:t xml:space="preserve"> or wrapping</w:t>
      </w:r>
      <w:bookmarkEnd w:id="8"/>
    </w:p>
    <w:p w:rsidR="002D2940" w:rsidRDefault="002D2940" w:rsidP="002D2940">
      <w:pPr>
        <w:pStyle w:val="ListParagraph"/>
        <w:numPr>
          <w:ilvl w:val="0"/>
          <w:numId w:val="21"/>
        </w:numPr>
      </w:pPr>
      <w:r>
        <w:t xml:space="preserve">A responsible person must ensure that the body of </w:t>
      </w:r>
      <w:r w:rsidR="00A3356B">
        <w:t>a dead person i</w:t>
      </w:r>
      <w:r w:rsidR="00E43210">
        <w:t>s not removed fro</w:t>
      </w:r>
      <w:r>
        <w:t>m a place unless:</w:t>
      </w:r>
    </w:p>
    <w:p w:rsidR="002D2940" w:rsidRDefault="007A671D" w:rsidP="002D2940">
      <w:pPr>
        <w:pStyle w:val="ListParagraph"/>
        <w:numPr>
          <w:ilvl w:val="0"/>
          <w:numId w:val="22"/>
        </w:numPr>
      </w:pPr>
      <w:r>
        <w:t>t</w:t>
      </w:r>
      <w:r w:rsidR="002D2940">
        <w:t>he body has been placed and secured in a bag or wrapping in a manner that prevents the leakage of any b</w:t>
      </w:r>
      <w:r w:rsidR="005915A3">
        <w:t>ody exudate or other substance</w:t>
      </w:r>
      <w:r>
        <w:t>,</w:t>
      </w:r>
      <w:r w:rsidR="005915A3">
        <w:t xml:space="preserve"> </w:t>
      </w:r>
      <w:r w:rsidR="002D2940">
        <w:t xml:space="preserve">and </w:t>
      </w:r>
    </w:p>
    <w:p w:rsidR="002D2940" w:rsidRDefault="007A671D" w:rsidP="002D2940">
      <w:pPr>
        <w:pStyle w:val="ListParagraph"/>
        <w:numPr>
          <w:ilvl w:val="0"/>
          <w:numId w:val="22"/>
        </w:numPr>
      </w:pPr>
      <w:proofErr w:type="gramStart"/>
      <w:r>
        <w:t>t</w:t>
      </w:r>
      <w:r w:rsidR="002D2940">
        <w:t>he</w:t>
      </w:r>
      <w:proofErr w:type="gramEnd"/>
      <w:r w:rsidR="002D2940">
        <w:t xml:space="preserve"> name of, or an identification of, the dead person is clearly and indelibly written on </w:t>
      </w:r>
      <w:r w:rsidR="0031199F">
        <w:t xml:space="preserve"> a wristband</w:t>
      </w:r>
      <w:r w:rsidR="00EE3CD1">
        <w:t>.</w:t>
      </w:r>
    </w:p>
    <w:p w:rsidR="002D2940" w:rsidRDefault="002D2940" w:rsidP="002D2940">
      <w:pPr>
        <w:pStyle w:val="ListParagraph"/>
        <w:numPr>
          <w:ilvl w:val="0"/>
          <w:numId w:val="21"/>
        </w:numPr>
      </w:pPr>
      <w:r>
        <w:t>For the purposes of this clause, a responsible person means:</w:t>
      </w:r>
    </w:p>
    <w:p w:rsidR="00C9221D" w:rsidRDefault="007A671D" w:rsidP="00C9221D">
      <w:pPr>
        <w:pStyle w:val="ListParagraph"/>
        <w:numPr>
          <w:ilvl w:val="0"/>
          <w:numId w:val="23"/>
        </w:numPr>
      </w:pPr>
      <w:r>
        <w:t>i</w:t>
      </w:r>
      <w:r w:rsidR="00C9221D">
        <w:t>f the body is at a hospital – the C</w:t>
      </w:r>
      <w:r w:rsidR="00536384">
        <w:t>hief Executive Officer (C</w:t>
      </w:r>
      <w:r w:rsidR="00C9221D">
        <w:t>EO</w:t>
      </w:r>
      <w:r w:rsidR="00536384">
        <w:t>)</w:t>
      </w:r>
      <w:r w:rsidR="00E36F96">
        <w:t>, o</w:t>
      </w:r>
      <w:r w:rsidR="005915A3">
        <w:t>r a person authorise</w:t>
      </w:r>
      <w:r w:rsidR="00A3356B">
        <w:t>d</w:t>
      </w:r>
      <w:r>
        <w:t xml:space="preserve"> by the CEO,</w:t>
      </w:r>
      <w:r w:rsidR="00E36F96">
        <w:t xml:space="preserve"> or</w:t>
      </w:r>
    </w:p>
    <w:p w:rsidR="00C9221D" w:rsidRDefault="007A671D" w:rsidP="00C9221D">
      <w:pPr>
        <w:pStyle w:val="ListParagraph"/>
        <w:numPr>
          <w:ilvl w:val="0"/>
          <w:numId w:val="23"/>
        </w:numPr>
      </w:pPr>
      <w:proofErr w:type="gramStart"/>
      <w:r>
        <w:t>i</w:t>
      </w:r>
      <w:r w:rsidR="00C9221D">
        <w:t>f</w:t>
      </w:r>
      <w:proofErr w:type="gramEnd"/>
      <w:r w:rsidR="00C9221D">
        <w:t xml:space="preserve"> the body is at any other premises or place – the funeral director or the person removing the body</w:t>
      </w:r>
      <w:r w:rsidR="00E36F96">
        <w:t>.</w:t>
      </w:r>
    </w:p>
    <w:p w:rsidR="00E36F96" w:rsidRDefault="00E36F96" w:rsidP="00E36F96">
      <w:pPr>
        <w:pStyle w:val="Heading1"/>
        <w:rPr>
          <w:sz w:val="28"/>
          <w:szCs w:val="26"/>
        </w:rPr>
      </w:pPr>
      <w:bookmarkStart w:id="9" w:name="_Toc480278645"/>
      <w:r w:rsidRPr="00E36F96">
        <w:rPr>
          <w:sz w:val="28"/>
          <w:szCs w:val="26"/>
        </w:rPr>
        <w:t>Removal of bodies from body bags</w:t>
      </w:r>
      <w:r w:rsidR="0031199F">
        <w:rPr>
          <w:sz w:val="28"/>
          <w:szCs w:val="26"/>
        </w:rPr>
        <w:t xml:space="preserve"> or wrapping</w:t>
      </w:r>
      <w:bookmarkEnd w:id="9"/>
    </w:p>
    <w:p w:rsidR="00E36F96" w:rsidRDefault="00E36F96" w:rsidP="00EE3CD1">
      <w:pPr>
        <w:pStyle w:val="ListParagraph"/>
        <w:numPr>
          <w:ilvl w:val="0"/>
          <w:numId w:val="8"/>
        </w:numPr>
      </w:pPr>
      <w:r>
        <w:t>A funeral director may only r</w:t>
      </w:r>
      <w:r w:rsidR="00EE3CD1">
        <w:t>emove a body from a body bag</w:t>
      </w:r>
      <w:r w:rsidR="0031199F">
        <w:t>, or wrapping,</w:t>
      </w:r>
      <w:r w:rsidR="00EE3CD1">
        <w:t xml:space="preserve"> if the removal is</w:t>
      </w:r>
      <w:r>
        <w:t xml:space="preserve"> for the purpose of</w:t>
      </w:r>
    </w:p>
    <w:p w:rsidR="00E36F96" w:rsidRDefault="007A671D" w:rsidP="00E36F96">
      <w:pPr>
        <w:pStyle w:val="ListParagraph"/>
        <w:numPr>
          <w:ilvl w:val="0"/>
          <w:numId w:val="26"/>
        </w:numPr>
      </w:pPr>
      <w:r>
        <w:t>embalming the body,</w:t>
      </w:r>
      <w:r w:rsidR="00E36F96">
        <w:t xml:space="preserve"> or</w:t>
      </w:r>
    </w:p>
    <w:p w:rsidR="00E36F96" w:rsidRDefault="007A671D" w:rsidP="00E36F96">
      <w:pPr>
        <w:pStyle w:val="ListParagraph"/>
        <w:numPr>
          <w:ilvl w:val="0"/>
          <w:numId w:val="26"/>
        </w:numPr>
      </w:pPr>
      <w:r>
        <w:t>p</w:t>
      </w:r>
      <w:r w:rsidR="00E36F96">
        <w:t>reparing the body for viewing,</w:t>
      </w:r>
      <w:r>
        <w:t xml:space="preserve"> transport, burial or cremation,</w:t>
      </w:r>
      <w:r w:rsidR="00E36F96">
        <w:t xml:space="preserve"> or</w:t>
      </w:r>
    </w:p>
    <w:p w:rsidR="00E36F96" w:rsidRDefault="007A671D" w:rsidP="00E36F96">
      <w:pPr>
        <w:pStyle w:val="ListParagraph"/>
        <w:numPr>
          <w:ilvl w:val="0"/>
          <w:numId w:val="26"/>
        </w:numPr>
      </w:pPr>
      <w:proofErr w:type="gramStart"/>
      <w:r>
        <w:t>t</w:t>
      </w:r>
      <w:r w:rsidR="00E36F96">
        <w:t>ransferring</w:t>
      </w:r>
      <w:proofErr w:type="gramEnd"/>
      <w:r w:rsidR="00E36F96">
        <w:t xml:space="preserve"> the body to a coffin.</w:t>
      </w:r>
    </w:p>
    <w:p w:rsidR="00E36F96" w:rsidRPr="00815E18" w:rsidRDefault="00E36F96" w:rsidP="00E36F96">
      <w:pPr>
        <w:pStyle w:val="ListParagraph"/>
        <w:numPr>
          <w:ilvl w:val="0"/>
          <w:numId w:val="8"/>
        </w:numPr>
      </w:pPr>
      <w:r w:rsidRPr="00815E18">
        <w:t xml:space="preserve">After a funeral director has </w:t>
      </w:r>
      <w:r w:rsidR="00C80F3E" w:rsidRPr="00815E18">
        <w:t xml:space="preserve">completed a temporary </w:t>
      </w:r>
      <w:r w:rsidRPr="00815E18">
        <w:t>embalm</w:t>
      </w:r>
      <w:r w:rsidR="00C80F3E" w:rsidRPr="00815E18">
        <w:t>ing</w:t>
      </w:r>
      <w:r w:rsidR="00536384">
        <w:t xml:space="preserve"> procedure,</w:t>
      </w:r>
      <w:r w:rsidRPr="00815E18">
        <w:t xml:space="preserve"> or </w:t>
      </w:r>
      <w:r w:rsidR="00536384">
        <w:t xml:space="preserve">otherwise </w:t>
      </w:r>
      <w:r w:rsidRPr="00815E18">
        <w:t>prepared a body, the funeral director must pl</w:t>
      </w:r>
      <w:r w:rsidR="00576983">
        <w:t>ace it in a new body bag</w:t>
      </w:r>
      <w:r w:rsidR="0031199F">
        <w:t xml:space="preserve"> or wrapping</w:t>
      </w:r>
      <w:r w:rsidR="00576983">
        <w:t>.</w:t>
      </w:r>
    </w:p>
    <w:p w:rsidR="00C80F3E" w:rsidRPr="00815E18" w:rsidRDefault="00C80F3E" w:rsidP="00C80F3E">
      <w:pPr>
        <w:pStyle w:val="ListParagraph"/>
        <w:numPr>
          <w:ilvl w:val="0"/>
          <w:numId w:val="8"/>
        </w:numPr>
      </w:pPr>
      <w:r w:rsidRPr="00815E18">
        <w:t>After a funeral directo</w:t>
      </w:r>
      <w:r w:rsidR="00536384">
        <w:t xml:space="preserve">r has completed a full embalming, </w:t>
      </w:r>
      <w:r w:rsidRPr="00815E18">
        <w:t xml:space="preserve">body bags are not recommended. </w:t>
      </w:r>
    </w:p>
    <w:p w:rsidR="00C80F3E" w:rsidRPr="00815E18" w:rsidRDefault="00C80F3E" w:rsidP="00536384">
      <w:pPr>
        <w:pStyle w:val="ListParagraph"/>
        <w:numPr>
          <w:ilvl w:val="0"/>
          <w:numId w:val="26"/>
        </w:numPr>
      </w:pPr>
      <w:r w:rsidRPr="00815E18">
        <w:t xml:space="preserve">If the embalming is for repatriation </w:t>
      </w:r>
      <w:r w:rsidR="0031199F">
        <w:t>the</w:t>
      </w:r>
      <w:r w:rsidR="00576983">
        <w:t xml:space="preserve"> body should be placed in </w:t>
      </w:r>
      <w:r w:rsidR="0031199F">
        <w:t xml:space="preserve">a wrap inside </w:t>
      </w:r>
      <w:r w:rsidR="00576983">
        <w:t>the coffin</w:t>
      </w:r>
      <w:r w:rsidR="00A3356B">
        <w:t>,</w:t>
      </w:r>
      <w:r w:rsidR="00576983">
        <w:t xml:space="preserve"> and the coffin </w:t>
      </w:r>
      <w:r w:rsidR="0031199F">
        <w:t xml:space="preserve">should be </w:t>
      </w:r>
      <w:r w:rsidR="00576983">
        <w:t>placed</w:t>
      </w:r>
      <w:r w:rsidR="003672F7" w:rsidRPr="00815E18">
        <w:t xml:space="preserve"> in </w:t>
      </w:r>
      <w:r w:rsidR="0031199F">
        <w:t>an</w:t>
      </w:r>
      <w:r w:rsidR="0031199F" w:rsidRPr="00815E18">
        <w:t xml:space="preserve"> </w:t>
      </w:r>
      <w:r w:rsidR="003672F7" w:rsidRPr="00815E18">
        <w:t xml:space="preserve">outer covering for transportation. </w:t>
      </w:r>
    </w:p>
    <w:p w:rsidR="00E36F96" w:rsidRPr="00576983" w:rsidRDefault="00E36F96" w:rsidP="00E36F96">
      <w:pPr>
        <w:pStyle w:val="ListParagraph"/>
        <w:numPr>
          <w:ilvl w:val="0"/>
          <w:numId w:val="8"/>
        </w:numPr>
        <w:rPr>
          <w:i/>
        </w:rPr>
      </w:pPr>
      <w:r w:rsidRPr="00815E18">
        <w:t xml:space="preserve">This clause does not apply to a body that is subject of an inquest under the </w:t>
      </w:r>
      <w:r w:rsidRPr="00576983">
        <w:rPr>
          <w:i/>
        </w:rPr>
        <w:t xml:space="preserve">Coroners Act 1996 </w:t>
      </w:r>
      <w:r>
        <w:t xml:space="preserve">or a post mortem that is carried out under the </w:t>
      </w:r>
      <w:r w:rsidRPr="00576983">
        <w:rPr>
          <w:i/>
        </w:rPr>
        <w:t>Human Tissue and Transplant Act 1982.</w:t>
      </w:r>
    </w:p>
    <w:p w:rsidR="004B0B82" w:rsidRDefault="004B0B82" w:rsidP="004B0B82">
      <w:pPr>
        <w:pStyle w:val="Heading1"/>
        <w:rPr>
          <w:sz w:val="28"/>
          <w:szCs w:val="26"/>
        </w:rPr>
      </w:pPr>
      <w:bookmarkStart w:id="10" w:name="_Toc480278646"/>
      <w:r w:rsidRPr="004B0B82">
        <w:rPr>
          <w:sz w:val="28"/>
          <w:szCs w:val="26"/>
        </w:rPr>
        <w:t>Body viewing</w:t>
      </w:r>
      <w:bookmarkEnd w:id="10"/>
    </w:p>
    <w:p w:rsidR="002A0C1F" w:rsidRDefault="002A0C1F" w:rsidP="002A0C1F">
      <w:pPr>
        <w:pStyle w:val="ListParagraph"/>
        <w:numPr>
          <w:ilvl w:val="0"/>
          <w:numId w:val="13"/>
        </w:numPr>
      </w:pPr>
      <w:r>
        <w:t>A funeral director may make a body available for viewing by mourners</w:t>
      </w:r>
      <w:r w:rsidR="00E36F96">
        <w:t>.</w:t>
      </w:r>
    </w:p>
    <w:p w:rsidR="002A0C1F" w:rsidRDefault="002A0C1F" w:rsidP="002A0C1F">
      <w:pPr>
        <w:pStyle w:val="ListParagraph"/>
        <w:numPr>
          <w:ilvl w:val="0"/>
          <w:numId w:val="13"/>
        </w:numPr>
      </w:pPr>
      <w:r>
        <w:lastRenderedPageBreak/>
        <w:t>A funeral director who makes an unembalmed body available for viewing:</w:t>
      </w:r>
    </w:p>
    <w:p w:rsidR="002A0C1F" w:rsidRDefault="007A671D" w:rsidP="002A0C1F">
      <w:pPr>
        <w:pStyle w:val="ListParagraph"/>
        <w:numPr>
          <w:ilvl w:val="0"/>
          <w:numId w:val="10"/>
        </w:numPr>
      </w:pPr>
      <w:r>
        <w:t>m</w:t>
      </w:r>
      <w:r w:rsidR="002A0C1F">
        <w:t xml:space="preserve">ust not remove the body from refrigeration for a period longer than is necessary for making </w:t>
      </w:r>
      <w:r w:rsidR="00177B6E">
        <w:t>i</w:t>
      </w:r>
      <w:r>
        <w:t>t available for viewing,</w:t>
      </w:r>
      <w:r w:rsidR="005915A3">
        <w:t xml:space="preserve"> </w:t>
      </w:r>
      <w:r w:rsidR="002A0C1F">
        <w:t>and</w:t>
      </w:r>
    </w:p>
    <w:p w:rsidR="002A0C1F" w:rsidRDefault="007A671D" w:rsidP="002A0C1F">
      <w:pPr>
        <w:pStyle w:val="ListParagraph"/>
        <w:numPr>
          <w:ilvl w:val="0"/>
          <w:numId w:val="10"/>
        </w:numPr>
      </w:pPr>
      <w:r>
        <w:t>u</w:t>
      </w:r>
      <w:r w:rsidR="002A0C1F">
        <w:t>nless the body is to be buried or cremated immediately, must place the body under refrigerat</w:t>
      </w:r>
      <w:r>
        <w:t>ion after the viewing,</w:t>
      </w:r>
      <w:r w:rsidR="002A0C1F">
        <w:t xml:space="preserve"> and </w:t>
      </w:r>
    </w:p>
    <w:p w:rsidR="002A0C1F" w:rsidRDefault="007A671D" w:rsidP="002A0C1F">
      <w:pPr>
        <w:pStyle w:val="ListParagraph"/>
        <w:numPr>
          <w:ilvl w:val="0"/>
          <w:numId w:val="10"/>
        </w:numPr>
      </w:pPr>
      <w:proofErr w:type="gramStart"/>
      <w:r>
        <w:t>m</w:t>
      </w:r>
      <w:bookmarkStart w:id="11" w:name="_GoBack"/>
      <w:bookmarkEnd w:id="11"/>
      <w:r w:rsidR="002A0C1F">
        <w:t>ust</w:t>
      </w:r>
      <w:proofErr w:type="gramEnd"/>
      <w:r w:rsidR="002A0C1F">
        <w:t xml:space="preserve"> not allow the body to remain unrefrigerated for a period of more than 8 hours in any day</w:t>
      </w:r>
      <w:r w:rsidR="00177B6E">
        <w:t>.</w:t>
      </w:r>
    </w:p>
    <w:p w:rsidR="004B0B82" w:rsidRDefault="004B0B82" w:rsidP="004B0B82">
      <w:pPr>
        <w:pStyle w:val="Heading1"/>
        <w:rPr>
          <w:sz w:val="28"/>
          <w:szCs w:val="26"/>
        </w:rPr>
      </w:pPr>
      <w:bookmarkStart w:id="12" w:name="_Toc480278647"/>
      <w:r w:rsidRPr="004B0B82">
        <w:rPr>
          <w:sz w:val="28"/>
          <w:szCs w:val="26"/>
        </w:rPr>
        <w:t>Register of bodies</w:t>
      </w:r>
      <w:bookmarkEnd w:id="12"/>
      <w:r w:rsidRPr="004B0B82">
        <w:rPr>
          <w:sz w:val="28"/>
          <w:szCs w:val="26"/>
        </w:rPr>
        <w:t xml:space="preserve"> </w:t>
      </w:r>
    </w:p>
    <w:p w:rsidR="00177B6E" w:rsidRDefault="00B638C2" w:rsidP="00177B6E">
      <w:pPr>
        <w:numPr>
          <w:ilvl w:val="0"/>
          <w:numId w:val="8"/>
        </w:numPr>
        <w:spacing w:after="0"/>
        <w:ind w:hanging="357"/>
      </w:pPr>
      <w:r w:rsidRPr="00B638C2">
        <w:t xml:space="preserve">A person who operates a mortuary must maintain a register of all bodies </w:t>
      </w:r>
      <w:r w:rsidR="00F24B39">
        <w:t xml:space="preserve">stored and </w:t>
      </w:r>
      <w:r w:rsidRPr="00B638C2">
        <w:t>prepared in</w:t>
      </w:r>
      <w:r w:rsidR="00F24B39">
        <w:t xml:space="preserve"> such mortuaries</w:t>
      </w:r>
      <w:r w:rsidRPr="00B638C2">
        <w:t>.</w:t>
      </w:r>
    </w:p>
    <w:p w:rsidR="00B638C2" w:rsidRPr="00B638C2" w:rsidRDefault="00B638C2" w:rsidP="00177B6E">
      <w:pPr>
        <w:numPr>
          <w:ilvl w:val="0"/>
          <w:numId w:val="8"/>
        </w:numPr>
        <w:spacing w:after="0"/>
        <w:ind w:hanging="357"/>
      </w:pPr>
      <w:r w:rsidRPr="00B638C2">
        <w:t>The person must make an entry in the register relating to each body immediately after the body is prepared.</w:t>
      </w:r>
    </w:p>
    <w:p w:rsidR="00B638C2" w:rsidRPr="00B638C2" w:rsidRDefault="00B638C2" w:rsidP="00177B6E">
      <w:pPr>
        <w:numPr>
          <w:ilvl w:val="0"/>
          <w:numId w:val="8"/>
        </w:numPr>
        <w:spacing w:after="0"/>
        <w:ind w:hanging="357"/>
      </w:pPr>
      <w:r w:rsidRPr="00B638C2">
        <w:t xml:space="preserve">Each entry must include the following: </w:t>
      </w:r>
    </w:p>
    <w:p w:rsidR="00B638C2" w:rsidRPr="00B638C2" w:rsidRDefault="00B638C2" w:rsidP="00177B6E">
      <w:pPr>
        <w:pStyle w:val="ListParagraph"/>
        <w:numPr>
          <w:ilvl w:val="0"/>
          <w:numId w:val="10"/>
        </w:numPr>
        <w:spacing w:after="0"/>
        <w:ind w:hanging="357"/>
      </w:pPr>
      <w:r w:rsidRPr="00B638C2">
        <w:t>the name, age and last address of the</w:t>
      </w:r>
      <w:r w:rsidR="007A671D">
        <w:t xml:space="preserve"> person whose body was prepared</w:t>
      </w:r>
      <w:r w:rsidR="005915A3">
        <w:t xml:space="preserve"> </w:t>
      </w:r>
    </w:p>
    <w:p w:rsidR="00576983" w:rsidRDefault="007A671D" w:rsidP="00177B6E">
      <w:pPr>
        <w:pStyle w:val="ListParagraph"/>
        <w:numPr>
          <w:ilvl w:val="0"/>
          <w:numId w:val="10"/>
        </w:numPr>
        <w:spacing w:after="0"/>
        <w:ind w:hanging="357"/>
      </w:pPr>
      <w:r>
        <w:t>the date of the person's death</w:t>
      </w:r>
      <w:r w:rsidR="005915A3">
        <w:t xml:space="preserve"> </w:t>
      </w:r>
    </w:p>
    <w:p w:rsidR="00B638C2" w:rsidRPr="00B638C2" w:rsidRDefault="007A671D" w:rsidP="00177B6E">
      <w:pPr>
        <w:pStyle w:val="ListParagraph"/>
        <w:numPr>
          <w:ilvl w:val="0"/>
          <w:numId w:val="10"/>
        </w:numPr>
        <w:spacing w:after="0"/>
        <w:ind w:hanging="357"/>
      </w:pPr>
      <w:r>
        <w:t>the date the body was received</w:t>
      </w:r>
      <w:r w:rsidR="005915A3">
        <w:t xml:space="preserve"> </w:t>
      </w:r>
    </w:p>
    <w:p w:rsidR="00576983" w:rsidRDefault="00B638C2" w:rsidP="00177B6E">
      <w:pPr>
        <w:pStyle w:val="ListParagraph"/>
        <w:numPr>
          <w:ilvl w:val="0"/>
          <w:numId w:val="10"/>
        </w:numPr>
        <w:spacing w:after="0"/>
        <w:ind w:hanging="357"/>
      </w:pPr>
      <w:r w:rsidRPr="00B638C2">
        <w:t>the date the bod</w:t>
      </w:r>
      <w:r w:rsidR="007A671D">
        <w:t>y was removed from the mortuary,</w:t>
      </w:r>
      <w:r w:rsidR="005915A3">
        <w:t xml:space="preserve"> </w:t>
      </w:r>
      <w:r w:rsidR="00576983">
        <w:t>and</w:t>
      </w:r>
    </w:p>
    <w:p w:rsidR="00B638C2" w:rsidRPr="00B638C2" w:rsidRDefault="00B638C2" w:rsidP="00177B6E">
      <w:pPr>
        <w:pStyle w:val="ListParagraph"/>
        <w:numPr>
          <w:ilvl w:val="0"/>
          <w:numId w:val="10"/>
        </w:numPr>
        <w:spacing w:after="0"/>
        <w:ind w:hanging="357"/>
      </w:pPr>
      <w:proofErr w:type="gramStart"/>
      <w:r w:rsidRPr="00B638C2">
        <w:t>the</w:t>
      </w:r>
      <w:proofErr w:type="gramEnd"/>
      <w:r w:rsidRPr="00B638C2">
        <w:t xml:space="preserve"> name of the cemetery or cremator</w:t>
      </w:r>
      <w:r w:rsidR="001156EE">
        <w:t>ium</w:t>
      </w:r>
      <w:r w:rsidR="00576983">
        <w:t>,</w:t>
      </w:r>
      <w:r w:rsidRPr="00B638C2">
        <w:t xml:space="preserve"> or the person</w:t>
      </w:r>
      <w:r w:rsidR="00576983">
        <w:t>, to whom</w:t>
      </w:r>
      <w:r w:rsidRPr="00B638C2">
        <w:t xml:space="preserve"> the body was delivered.</w:t>
      </w:r>
    </w:p>
    <w:p w:rsidR="00B638C2" w:rsidRDefault="00B638C2" w:rsidP="00177B6E">
      <w:pPr>
        <w:numPr>
          <w:ilvl w:val="0"/>
          <w:numId w:val="8"/>
        </w:numPr>
        <w:spacing w:after="0"/>
        <w:ind w:hanging="357"/>
      </w:pPr>
      <w:r w:rsidRPr="00B638C2">
        <w:t>The person must keep a copy of the register and make it available for inspection</w:t>
      </w:r>
      <w:r w:rsidR="00EE3CD1">
        <w:t>.</w:t>
      </w:r>
    </w:p>
    <w:p w:rsidR="001F0EA3" w:rsidRPr="00B638C2" w:rsidRDefault="001F0EA3" w:rsidP="001F0EA3">
      <w:pPr>
        <w:spacing w:after="0"/>
      </w:pPr>
    </w:p>
    <w:p w:rsidR="001F0EA3" w:rsidRDefault="001F0EA3" w:rsidP="001F0EA3">
      <w:pPr>
        <w:pStyle w:val="Heading1"/>
        <w:rPr>
          <w:sz w:val="28"/>
          <w:szCs w:val="26"/>
        </w:rPr>
      </w:pPr>
      <w:bookmarkStart w:id="13" w:name="_Toc480278648"/>
      <w:r w:rsidRPr="008B2366">
        <w:rPr>
          <w:sz w:val="28"/>
          <w:szCs w:val="26"/>
        </w:rPr>
        <w:t>Transport of bodies</w:t>
      </w:r>
      <w:bookmarkEnd w:id="13"/>
    </w:p>
    <w:p w:rsidR="002C7642" w:rsidRDefault="001F0EA3" w:rsidP="002C7642">
      <w:pPr>
        <w:pStyle w:val="ListParagraph"/>
        <w:numPr>
          <w:ilvl w:val="0"/>
          <w:numId w:val="8"/>
        </w:numPr>
      </w:pPr>
      <w:r>
        <w:t>A funeral director must, before desp</w:t>
      </w:r>
      <w:r w:rsidR="00EE3CD1">
        <w:t>atching a body by a carrier other</w:t>
      </w:r>
      <w:r>
        <w:t xml:space="preserve"> than a funeral director or the operator o</w:t>
      </w:r>
      <w:r w:rsidR="005915A3">
        <w:t>f a mortuary transport service, e</w:t>
      </w:r>
      <w:r>
        <w:t>nclose the body in a watertight coffin.</w:t>
      </w:r>
    </w:p>
    <w:p w:rsidR="00815E18" w:rsidRPr="00A507E2" w:rsidRDefault="00815E18" w:rsidP="00815E18">
      <w:pPr>
        <w:sectPr w:rsidR="00815E18" w:rsidRPr="00A507E2" w:rsidSect="00375931">
          <w:headerReference w:type="default" r:id="rId13"/>
          <w:footerReference w:type="default" r:id="rId14"/>
          <w:pgSz w:w="11906" w:h="16838"/>
          <w:pgMar w:top="1701" w:right="851" w:bottom="1418" w:left="851" w:header="709" w:footer="397" w:gutter="0"/>
          <w:pgNumType w:start="1"/>
          <w:cols w:space="708"/>
          <w:docGrid w:linePitch="360"/>
        </w:sectPr>
      </w:pPr>
    </w:p>
    <w:p w:rsidR="000A06FA" w:rsidRPr="00942E55" w:rsidRDefault="003A7908" w:rsidP="00F62BCC">
      <w:pPr>
        <w:spacing w:after="360"/>
        <w:rPr>
          <w:rStyle w:val="Bold"/>
          <w:color w:val="095489"/>
          <w:sz w:val="36"/>
          <w:szCs w:val="36"/>
        </w:rPr>
      </w:pPr>
      <w:r>
        <w:rPr>
          <w:b/>
          <w:noProof/>
          <w:color w:val="095489"/>
          <w:sz w:val="36"/>
          <w:szCs w:val="36"/>
          <w:lang w:eastAsia="en-AU"/>
        </w:rPr>
        <w:lastRenderedPageBreak/>
        <w:drawing>
          <wp:inline distT="0" distB="0" distL="0" distR="0" wp14:anchorId="6ECCE88E" wp14:editId="460287BC">
            <wp:extent cx="676275" cy="676275"/>
            <wp:effectExtent l="0" t="0" r="9525" b="9525"/>
            <wp:docPr id="2" name="Picture 2" descr="Scan this QR code with your smart phone to go the WA Health website" title="www.health.wa.gov.au QR Cod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p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Pr="00AF7C07">
        <w:rPr>
          <w:b/>
        </w:rPr>
        <w:t>request for a person with a disability.</w:t>
      </w:r>
    </w:p>
    <w:p w:rsidR="00EF313F" w:rsidRPr="00EF313F" w:rsidRDefault="00183A46" w:rsidP="00372E00">
      <w:pPr>
        <w:spacing w:after="300"/>
        <w:ind w:right="-1"/>
        <w:rPr>
          <w:sz w:val="22"/>
        </w:rPr>
      </w:pPr>
      <w:r>
        <w:t>© Department of Health 201</w:t>
      </w:r>
      <w:r w:rsidR="007A671D">
        <w:t>8</w:t>
      </w:r>
      <w:r w:rsidR="00EE3CD1">
        <w:t xml:space="preserve"> </w:t>
      </w:r>
      <w:r w:rsidR="0000010A" w:rsidRPr="0000010A">
        <w:rPr>
          <w:sz w:val="22"/>
        </w:rPr>
        <w:t>Copyright to this material is vested in the State of Western Australia unless otherwise indicated. Apart from any fair dealing for the purposes of priv</w:t>
      </w:r>
      <w:r w:rsidR="0000010A">
        <w:rPr>
          <w:sz w:val="22"/>
        </w:rPr>
        <w:t xml:space="preserve">ate study, research, criticism </w:t>
      </w:r>
      <w:r w:rsidR="0000010A" w:rsidRPr="0000010A">
        <w:rPr>
          <w:sz w:val="22"/>
        </w:rPr>
        <w:t xml:space="preserve">or review, as permitted under the provisions of the </w:t>
      </w:r>
      <w:r w:rsidR="0000010A" w:rsidRPr="0000010A">
        <w:rPr>
          <w:rFonts w:cs="ArialMTStd-Italic"/>
          <w:i/>
          <w:iCs/>
          <w:sz w:val="22"/>
        </w:rPr>
        <w:t>Copyright Act 1968</w:t>
      </w:r>
      <w:r w:rsidR="0000010A" w:rsidRPr="0000010A">
        <w:rPr>
          <w:sz w:val="22"/>
        </w:rPr>
        <w:t>, no part may be reproduced or re-used for any purposes whatsoever without written permission of the State of Western Australia.</w:t>
      </w:r>
    </w:p>
    <w:sectPr w:rsidR="00EF313F" w:rsidRPr="00EF313F" w:rsidSect="002D3346">
      <w:headerReference w:type="default" r:id="rId17"/>
      <w:footerReference w:type="default" r:id="rId18"/>
      <w:pgSz w:w="11906" w:h="16838"/>
      <w:pgMar w:top="12049" w:right="849"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EB" w:rsidRDefault="00F571EB" w:rsidP="00743BE0">
      <w:pPr>
        <w:spacing w:after="0"/>
      </w:pPr>
      <w:r>
        <w:separator/>
      </w:r>
    </w:p>
  </w:endnote>
  <w:endnote w:type="continuationSeparator" w:id="0">
    <w:p w:rsidR="00F571EB" w:rsidRDefault="00F571EB"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C9" w:rsidRPr="00942E55" w:rsidRDefault="003325C9" w:rsidP="00F34BF2">
    <w:pPr>
      <w:spacing w:after="240"/>
      <w:rPr>
        <w:b/>
        <w:color w:val="095489"/>
        <w:sz w:val="36"/>
        <w:szCs w:val="36"/>
      </w:rPr>
    </w:pPr>
    <w:r w:rsidRPr="00942E55">
      <w:rPr>
        <w:rStyle w:val="Bold"/>
        <w:color w:val="095489"/>
        <w:sz w:val="36"/>
        <w:szCs w:val="36"/>
      </w:rPr>
      <w:t>health.wa.gov.au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C9" w:rsidRPr="00375931" w:rsidRDefault="003325C9" w:rsidP="00771E1C">
    <w:pPr>
      <w:pStyle w:val="Footer"/>
    </w:pPr>
    <w:r>
      <w:fldChar w:fldCharType="begin"/>
    </w:r>
    <w:r>
      <w:instrText xml:space="preserve"> PAGE   \* MERGEFORMAT </w:instrText>
    </w:r>
    <w:r>
      <w:fldChar w:fldCharType="separate"/>
    </w:r>
    <w:r w:rsidR="007A671D">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C9" w:rsidRDefault="003325C9" w:rsidP="0037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EB" w:rsidRDefault="00F571EB" w:rsidP="00743BE0">
      <w:pPr>
        <w:spacing w:after="0"/>
      </w:pPr>
      <w:r>
        <w:separator/>
      </w:r>
    </w:p>
  </w:footnote>
  <w:footnote w:type="continuationSeparator" w:id="0">
    <w:p w:rsidR="00F571EB" w:rsidRDefault="00F571EB" w:rsidP="00743B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C9" w:rsidRDefault="003325C9">
    <w:pPr>
      <w:pStyle w:val="Header"/>
    </w:pPr>
    <w:r>
      <w:rPr>
        <w:noProof/>
        <w:lang w:eastAsia="en-AU"/>
      </w:rPr>
      <w:drawing>
        <wp:inline distT="0" distB="0" distL="0" distR="0">
          <wp:extent cx="3105150" cy="540128"/>
          <wp:effectExtent l="0" t="0" r="0" b="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Health Logo, Government of Western Australia. Image of Government state badge." title="Department of Health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105150" cy="5397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C9" w:rsidRDefault="00332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C9" w:rsidRDefault="00332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C02"/>
    <w:multiLevelType w:val="hybridMultilevel"/>
    <w:tmpl w:val="50649F8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5E13CA1"/>
    <w:multiLevelType w:val="hybridMultilevel"/>
    <w:tmpl w:val="67140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143742"/>
    <w:multiLevelType w:val="hybridMultilevel"/>
    <w:tmpl w:val="285CB3C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88857AA"/>
    <w:multiLevelType w:val="hybridMultilevel"/>
    <w:tmpl w:val="A0706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6F693A"/>
    <w:multiLevelType w:val="hybridMultilevel"/>
    <w:tmpl w:val="627CCA70"/>
    <w:lvl w:ilvl="0" w:tplc="0C090005">
      <w:start w:val="1"/>
      <w:numFmt w:val="bullet"/>
      <w:lvlText w:val=""/>
      <w:lvlJc w:val="left"/>
      <w:pPr>
        <w:ind w:left="1140" w:hanging="360"/>
      </w:pPr>
      <w:rPr>
        <w:rFonts w:ascii="Wingdings" w:hAnsi="Wingdings"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30325E"/>
    <w:multiLevelType w:val="hybridMultilevel"/>
    <w:tmpl w:val="AD5E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3261C8"/>
    <w:multiLevelType w:val="hybridMultilevel"/>
    <w:tmpl w:val="C3EA5E5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D6C4578"/>
    <w:multiLevelType w:val="hybridMultilevel"/>
    <w:tmpl w:val="8716E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205E40"/>
    <w:multiLevelType w:val="hybridMultilevel"/>
    <w:tmpl w:val="1832B4C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59C65C2"/>
    <w:multiLevelType w:val="hybridMultilevel"/>
    <w:tmpl w:val="A5566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226D31"/>
    <w:multiLevelType w:val="hybridMultilevel"/>
    <w:tmpl w:val="7EA4D97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19F3277"/>
    <w:multiLevelType w:val="hybridMultilevel"/>
    <w:tmpl w:val="56124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4C16EF5"/>
    <w:multiLevelType w:val="hybridMultilevel"/>
    <w:tmpl w:val="F5E4B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191040"/>
    <w:multiLevelType w:val="hybridMultilevel"/>
    <w:tmpl w:val="56D6C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7646F4"/>
    <w:multiLevelType w:val="hybridMultilevel"/>
    <w:tmpl w:val="78F8416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000FD9"/>
    <w:multiLevelType w:val="hybridMultilevel"/>
    <w:tmpl w:val="192E795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652B4D"/>
    <w:multiLevelType w:val="hybridMultilevel"/>
    <w:tmpl w:val="A6D6D710"/>
    <w:lvl w:ilvl="0" w:tplc="D9EE0B5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BF56D3A"/>
    <w:multiLevelType w:val="hybridMultilevel"/>
    <w:tmpl w:val="22CEA98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6D2C04BF"/>
    <w:multiLevelType w:val="hybridMultilevel"/>
    <w:tmpl w:val="8F4E0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DEE2042"/>
    <w:multiLevelType w:val="hybridMultilevel"/>
    <w:tmpl w:val="2F647E9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BEF6601"/>
    <w:multiLevelType w:val="hybridMultilevel"/>
    <w:tmpl w:val="81FC3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7EED11C0"/>
    <w:multiLevelType w:val="hybridMultilevel"/>
    <w:tmpl w:val="58BEEFE2"/>
    <w:lvl w:ilvl="0" w:tplc="D9EE0B5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6"/>
  </w:num>
  <w:num w:numId="4">
    <w:abstractNumId w:val="11"/>
  </w:num>
  <w:num w:numId="5">
    <w:abstractNumId w:val="7"/>
  </w:num>
  <w:num w:numId="6">
    <w:abstractNumId w:val="4"/>
  </w:num>
  <w:num w:numId="7">
    <w:abstractNumId w:val="18"/>
  </w:num>
  <w:num w:numId="8">
    <w:abstractNumId w:val="21"/>
  </w:num>
  <w:num w:numId="9">
    <w:abstractNumId w:val="24"/>
  </w:num>
  <w:num w:numId="10">
    <w:abstractNumId w:val="9"/>
  </w:num>
  <w:num w:numId="11">
    <w:abstractNumId w:val="1"/>
  </w:num>
  <w:num w:numId="12">
    <w:abstractNumId w:val="17"/>
  </w:num>
  <w:num w:numId="13">
    <w:abstractNumId w:val="13"/>
  </w:num>
  <w:num w:numId="14">
    <w:abstractNumId w:val="8"/>
  </w:num>
  <w:num w:numId="15">
    <w:abstractNumId w:val="3"/>
  </w:num>
  <w:num w:numId="16">
    <w:abstractNumId w:val="10"/>
  </w:num>
  <w:num w:numId="17">
    <w:abstractNumId w:val="27"/>
  </w:num>
  <w:num w:numId="18">
    <w:abstractNumId w:val="0"/>
  </w:num>
  <w:num w:numId="19">
    <w:abstractNumId w:val="23"/>
  </w:num>
  <w:num w:numId="20">
    <w:abstractNumId w:val="28"/>
  </w:num>
  <w:num w:numId="21">
    <w:abstractNumId w:val="22"/>
  </w:num>
  <w:num w:numId="22">
    <w:abstractNumId w:val="2"/>
  </w:num>
  <w:num w:numId="23">
    <w:abstractNumId w:val="14"/>
  </w:num>
  <w:num w:numId="24">
    <w:abstractNumId w:val="16"/>
  </w:num>
  <w:num w:numId="25">
    <w:abstractNumId w:val="12"/>
  </w:num>
  <w:num w:numId="26">
    <w:abstractNumId w:val="6"/>
  </w:num>
  <w:num w:numId="27">
    <w:abstractNumId w:val="19"/>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A1"/>
    <w:rsid w:val="0000010A"/>
    <w:rsid w:val="000031F3"/>
    <w:rsid w:val="0001269A"/>
    <w:rsid w:val="000278D7"/>
    <w:rsid w:val="00063EC5"/>
    <w:rsid w:val="000A018D"/>
    <w:rsid w:val="000A06FA"/>
    <w:rsid w:val="000B39F0"/>
    <w:rsid w:val="000C1184"/>
    <w:rsid w:val="000D36AC"/>
    <w:rsid w:val="000D4131"/>
    <w:rsid w:val="000F3572"/>
    <w:rsid w:val="00102986"/>
    <w:rsid w:val="00107C96"/>
    <w:rsid w:val="001156EE"/>
    <w:rsid w:val="00116B67"/>
    <w:rsid w:val="00126022"/>
    <w:rsid w:val="001437E0"/>
    <w:rsid w:val="0016439E"/>
    <w:rsid w:val="00167285"/>
    <w:rsid w:val="00171B7B"/>
    <w:rsid w:val="00177B6E"/>
    <w:rsid w:val="00183A46"/>
    <w:rsid w:val="00184E59"/>
    <w:rsid w:val="001C7D1F"/>
    <w:rsid w:val="001E61A5"/>
    <w:rsid w:val="001E6DB3"/>
    <w:rsid w:val="001F0EA3"/>
    <w:rsid w:val="001F6030"/>
    <w:rsid w:val="001F68E9"/>
    <w:rsid w:val="00204D71"/>
    <w:rsid w:val="002057D5"/>
    <w:rsid w:val="002203F2"/>
    <w:rsid w:val="00220E8F"/>
    <w:rsid w:val="002308D1"/>
    <w:rsid w:val="002506B5"/>
    <w:rsid w:val="0025366C"/>
    <w:rsid w:val="00256C1F"/>
    <w:rsid w:val="00261F3C"/>
    <w:rsid w:val="00275748"/>
    <w:rsid w:val="002A0C1F"/>
    <w:rsid w:val="002A339A"/>
    <w:rsid w:val="002C7642"/>
    <w:rsid w:val="002C7D7D"/>
    <w:rsid w:val="002D2940"/>
    <w:rsid w:val="002D3346"/>
    <w:rsid w:val="00300847"/>
    <w:rsid w:val="0031199F"/>
    <w:rsid w:val="003147F2"/>
    <w:rsid w:val="003325C9"/>
    <w:rsid w:val="003472CF"/>
    <w:rsid w:val="00355004"/>
    <w:rsid w:val="00357F84"/>
    <w:rsid w:val="00367085"/>
    <w:rsid w:val="003672F7"/>
    <w:rsid w:val="00372E00"/>
    <w:rsid w:val="00375931"/>
    <w:rsid w:val="003929E7"/>
    <w:rsid w:val="003A7908"/>
    <w:rsid w:val="003E5503"/>
    <w:rsid w:val="003F3B30"/>
    <w:rsid w:val="00427800"/>
    <w:rsid w:val="00433B0D"/>
    <w:rsid w:val="004401BA"/>
    <w:rsid w:val="004444FF"/>
    <w:rsid w:val="004447AF"/>
    <w:rsid w:val="00466DB9"/>
    <w:rsid w:val="00470C6D"/>
    <w:rsid w:val="00471692"/>
    <w:rsid w:val="00485298"/>
    <w:rsid w:val="004A609E"/>
    <w:rsid w:val="004B0B82"/>
    <w:rsid w:val="004C185D"/>
    <w:rsid w:val="004C2780"/>
    <w:rsid w:val="004C6976"/>
    <w:rsid w:val="004D51BF"/>
    <w:rsid w:val="0050731C"/>
    <w:rsid w:val="00515C4D"/>
    <w:rsid w:val="005352E7"/>
    <w:rsid w:val="00535E0C"/>
    <w:rsid w:val="00536384"/>
    <w:rsid w:val="0056716B"/>
    <w:rsid w:val="00576983"/>
    <w:rsid w:val="00581255"/>
    <w:rsid w:val="00585754"/>
    <w:rsid w:val="005915A3"/>
    <w:rsid w:val="005949AC"/>
    <w:rsid w:val="005A409E"/>
    <w:rsid w:val="005B1846"/>
    <w:rsid w:val="005B7DC2"/>
    <w:rsid w:val="005E37E5"/>
    <w:rsid w:val="005F208A"/>
    <w:rsid w:val="005F2164"/>
    <w:rsid w:val="006117A1"/>
    <w:rsid w:val="0064686E"/>
    <w:rsid w:val="006600E4"/>
    <w:rsid w:val="00676B65"/>
    <w:rsid w:val="006A5F6D"/>
    <w:rsid w:val="006D3D54"/>
    <w:rsid w:val="006F52D0"/>
    <w:rsid w:val="00714886"/>
    <w:rsid w:val="0073725A"/>
    <w:rsid w:val="00743BE0"/>
    <w:rsid w:val="0077027C"/>
    <w:rsid w:val="00771E1C"/>
    <w:rsid w:val="007846E2"/>
    <w:rsid w:val="00792B6B"/>
    <w:rsid w:val="007A2078"/>
    <w:rsid w:val="007A671D"/>
    <w:rsid w:val="007C4818"/>
    <w:rsid w:val="007C7F59"/>
    <w:rsid w:val="007D1E5D"/>
    <w:rsid w:val="007D793C"/>
    <w:rsid w:val="007F5A6B"/>
    <w:rsid w:val="008028B2"/>
    <w:rsid w:val="00811F27"/>
    <w:rsid w:val="00815E18"/>
    <w:rsid w:val="00836FE3"/>
    <w:rsid w:val="00843981"/>
    <w:rsid w:val="00851B4C"/>
    <w:rsid w:val="008616EC"/>
    <w:rsid w:val="00864A07"/>
    <w:rsid w:val="00881846"/>
    <w:rsid w:val="00897837"/>
    <w:rsid w:val="008B2366"/>
    <w:rsid w:val="008B5F71"/>
    <w:rsid w:val="008B6D62"/>
    <w:rsid w:val="008F425F"/>
    <w:rsid w:val="008F7FE4"/>
    <w:rsid w:val="00906201"/>
    <w:rsid w:val="00930DF8"/>
    <w:rsid w:val="009334DD"/>
    <w:rsid w:val="00942E55"/>
    <w:rsid w:val="009668ED"/>
    <w:rsid w:val="00981DA1"/>
    <w:rsid w:val="00990D6C"/>
    <w:rsid w:val="00996557"/>
    <w:rsid w:val="0099688E"/>
    <w:rsid w:val="009B0F26"/>
    <w:rsid w:val="009C72E0"/>
    <w:rsid w:val="009D0807"/>
    <w:rsid w:val="009F2374"/>
    <w:rsid w:val="00A052A9"/>
    <w:rsid w:val="00A31C47"/>
    <w:rsid w:val="00A3356B"/>
    <w:rsid w:val="00A44866"/>
    <w:rsid w:val="00A507E2"/>
    <w:rsid w:val="00A530B4"/>
    <w:rsid w:val="00A554A2"/>
    <w:rsid w:val="00A9145A"/>
    <w:rsid w:val="00A91C4C"/>
    <w:rsid w:val="00AA28E0"/>
    <w:rsid w:val="00AC6FB5"/>
    <w:rsid w:val="00AF14AD"/>
    <w:rsid w:val="00AF389D"/>
    <w:rsid w:val="00AF7C07"/>
    <w:rsid w:val="00B304CE"/>
    <w:rsid w:val="00B3718F"/>
    <w:rsid w:val="00B638C2"/>
    <w:rsid w:val="00B74850"/>
    <w:rsid w:val="00B7739F"/>
    <w:rsid w:val="00B91D0A"/>
    <w:rsid w:val="00BA6BEB"/>
    <w:rsid w:val="00BB0007"/>
    <w:rsid w:val="00BB4E5A"/>
    <w:rsid w:val="00BB5682"/>
    <w:rsid w:val="00BC05FC"/>
    <w:rsid w:val="00BD0681"/>
    <w:rsid w:val="00BD41EB"/>
    <w:rsid w:val="00BE3C2D"/>
    <w:rsid w:val="00BF2A12"/>
    <w:rsid w:val="00BF2FDF"/>
    <w:rsid w:val="00C0263E"/>
    <w:rsid w:val="00C139A7"/>
    <w:rsid w:val="00C13FC1"/>
    <w:rsid w:val="00C62A35"/>
    <w:rsid w:val="00C62C2B"/>
    <w:rsid w:val="00C65A28"/>
    <w:rsid w:val="00C671C7"/>
    <w:rsid w:val="00C676CE"/>
    <w:rsid w:val="00C7143D"/>
    <w:rsid w:val="00C80F3E"/>
    <w:rsid w:val="00C91079"/>
    <w:rsid w:val="00C9221D"/>
    <w:rsid w:val="00CB0AC5"/>
    <w:rsid w:val="00CB61F0"/>
    <w:rsid w:val="00CC2891"/>
    <w:rsid w:val="00CF5630"/>
    <w:rsid w:val="00CF64E2"/>
    <w:rsid w:val="00D02F06"/>
    <w:rsid w:val="00D147D4"/>
    <w:rsid w:val="00D20A71"/>
    <w:rsid w:val="00D575A8"/>
    <w:rsid w:val="00D741DD"/>
    <w:rsid w:val="00D9301F"/>
    <w:rsid w:val="00DB37A1"/>
    <w:rsid w:val="00DE4BFE"/>
    <w:rsid w:val="00E20EC0"/>
    <w:rsid w:val="00E219EB"/>
    <w:rsid w:val="00E36F96"/>
    <w:rsid w:val="00E40563"/>
    <w:rsid w:val="00E43210"/>
    <w:rsid w:val="00E47483"/>
    <w:rsid w:val="00E52DF6"/>
    <w:rsid w:val="00E62270"/>
    <w:rsid w:val="00E77DD4"/>
    <w:rsid w:val="00E9207A"/>
    <w:rsid w:val="00ED3298"/>
    <w:rsid w:val="00EE3CD1"/>
    <w:rsid w:val="00EF2BB7"/>
    <w:rsid w:val="00EF313F"/>
    <w:rsid w:val="00EF32CE"/>
    <w:rsid w:val="00EF3DDA"/>
    <w:rsid w:val="00F01075"/>
    <w:rsid w:val="00F24B39"/>
    <w:rsid w:val="00F34BF2"/>
    <w:rsid w:val="00F571EB"/>
    <w:rsid w:val="00F60D2E"/>
    <w:rsid w:val="00F62BCC"/>
    <w:rsid w:val="00F8187D"/>
    <w:rsid w:val="00F94E11"/>
    <w:rsid w:val="00FA22FF"/>
    <w:rsid w:val="00FB5156"/>
    <w:rsid w:val="00FF0D8D"/>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A9145A"/>
    <w:pPr>
      <w:keepNext/>
      <w:keepLines/>
      <w:spacing w:after="120"/>
      <w:outlineLvl w:val="0"/>
    </w:pPr>
    <w:rPr>
      <w:rFonts w:eastAsia="Times New Roman"/>
      <w:b/>
      <w:bCs/>
      <w:color w:val="095489"/>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095489"/>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095489"/>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A9145A"/>
    <w:rPr>
      <w:rFonts w:ascii="Arial" w:eastAsia="Times New Roman" w:hAnsi="Arial"/>
      <w:b/>
      <w:bCs/>
      <w:color w:val="095489"/>
      <w:sz w:val="40"/>
      <w:szCs w:val="28"/>
      <w:lang w:val="en-AU"/>
    </w:rPr>
  </w:style>
  <w:style w:type="character" w:customStyle="1" w:styleId="Heading2Char">
    <w:name w:val="Heading 2 Char"/>
    <w:link w:val="Heading2"/>
    <w:uiPriority w:val="9"/>
    <w:rsid w:val="00A9145A"/>
    <w:rPr>
      <w:rFonts w:ascii="Arial" w:eastAsia="Times New Roman" w:hAnsi="Arial"/>
      <w:b/>
      <w:bCs/>
      <w:color w:val="095489"/>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095489"/>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CommentReference">
    <w:name w:val="annotation reference"/>
    <w:basedOn w:val="DefaultParagraphFont"/>
    <w:uiPriority w:val="99"/>
    <w:semiHidden/>
    <w:rsid w:val="00E43210"/>
    <w:rPr>
      <w:sz w:val="16"/>
      <w:szCs w:val="16"/>
    </w:rPr>
  </w:style>
  <w:style w:type="paragraph" w:styleId="CommentText">
    <w:name w:val="annotation text"/>
    <w:basedOn w:val="Normal"/>
    <w:link w:val="CommentTextChar"/>
    <w:uiPriority w:val="99"/>
    <w:semiHidden/>
    <w:rsid w:val="00E43210"/>
    <w:rPr>
      <w:sz w:val="20"/>
      <w:szCs w:val="20"/>
    </w:rPr>
  </w:style>
  <w:style w:type="character" w:customStyle="1" w:styleId="CommentTextChar">
    <w:name w:val="Comment Text Char"/>
    <w:basedOn w:val="DefaultParagraphFont"/>
    <w:link w:val="CommentText"/>
    <w:uiPriority w:val="99"/>
    <w:semiHidden/>
    <w:rsid w:val="00E43210"/>
    <w:rPr>
      <w:rFonts w:ascii="Arial" w:hAnsi="Arial"/>
      <w:lang w:eastAsia="en-US"/>
    </w:rPr>
  </w:style>
  <w:style w:type="paragraph" w:styleId="CommentSubject">
    <w:name w:val="annotation subject"/>
    <w:basedOn w:val="CommentText"/>
    <w:next w:val="CommentText"/>
    <w:link w:val="CommentSubjectChar"/>
    <w:uiPriority w:val="99"/>
    <w:semiHidden/>
    <w:rsid w:val="00E43210"/>
    <w:rPr>
      <w:b/>
      <w:bCs/>
    </w:rPr>
  </w:style>
  <w:style w:type="character" w:customStyle="1" w:styleId="CommentSubjectChar">
    <w:name w:val="Comment Subject Char"/>
    <w:basedOn w:val="CommentTextChar"/>
    <w:link w:val="CommentSubject"/>
    <w:uiPriority w:val="99"/>
    <w:semiHidden/>
    <w:rsid w:val="00E4321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A9145A"/>
    <w:pPr>
      <w:keepNext/>
      <w:keepLines/>
      <w:spacing w:after="120"/>
      <w:outlineLvl w:val="0"/>
    </w:pPr>
    <w:rPr>
      <w:rFonts w:eastAsia="Times New Roman"/>
      <w:b/>
      <w:bCs/>
      <w:color w:val="095489"/>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095489"/>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095489"/>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A9145A"/>
    <w:rPr>
      <w:rFonts w:ascii="Arial" w:eastAsia="Times New Roman" w:hAnsi="Arial"/>
      <w:b/>
      <w:bCs/>
      <w:color w:val="095489"/>
      <w:sz w:val="40"/>
      <w:szCs w:val="28"/>
      <w:lang w:val="en-AU"/>
    </w:rPr>
  </w:style>
  <w:style w:type="character" w:customStyle="1" w:styleId="Heading2Char">
    <w:name w:val="Heading 2 Char"/>
    <w:link w:val="Heading2"/>
    <w:uiPriority w:val="9"/>
    <w:rsid w:val="00A9145A"/>
    <w:rPr>
      <w:rFonts w:ascii="Arial" w:eastAsia="Times New Roman" w:hAnsi="Arial"/>
      <w:b/>
      <w:bCs/>
      <w:color w:val="095489"/>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095489"/>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CommentReference">
    <w:name w:val="annotation reference"/>
    <w:basedOn w:val="DefaultParagraphFont"/>
    <w:uiPriority w:val="99"/>
    <w:semiHidden/>
    <w:rsid w:val="00E43210"/>
    <w:rPr>
      <w:sz w:val="16"/>
      <w:szCs w:val="16"/>
    </w:rPr>
  </w:style>
  <w:style w:type="paragraph" w:styleId="CommentText">
    <w:name w:val="annotation text"/>
    <w:basedOn w:val="Normal"/>
    <w:link w:val="CommentTextChar"/>
    <w:uiPriority w:val="99"/>
    <w:semiHidden/>
    <w:rsid w:val="00E43210"/>
    <w:rPr>
      <w:sz w:val="20"/>
      <w:szCs w:val="20"/>
    </w:rPr>
  </w:style>
  <w:style w:type="character" w:customStyle="1" w:styleId="CommentTextChar">
    <w:name w:val="Comment Text Char"/>
    <w:basedOn w:val="DefaultParagraphFont"/>
    <w:link w:val="CommentText"/>
    <w:uiPriority w:val="99"/>
    <w:semiHidden/>
    <w:rsid w:val="00E43210"/>
    <w:rPr>
      <w:rFonts w:ascii="Arial" w:hAnsi="Arial"/>
      <w:lang w:eastAsia="en-US"/>
    </w:rPr>
  </w:style>
  <w:style w:type="paragraph" w:styleId="CommentSubject">
    <w:name w:val="annotation subject"/>
    <w:basedOn w:val="CommentText"/>
    <w:next w:val="CommentText"/>
    <w:link w:val="CommentSubjectChar"/>
    <w:uiPriority w:val="99"/>
    <w:semiHidden/>
    <w:rsid w:val="00E43210"/>
    <w:rPr>
      <w:b/>
      <w:bCs/>
    </w:rPr>
  </w:style>
  <w:style w:type="character" w:customStyle="1" w:styleId="CommentSubjectChar">
    <w:name w:val="Comment Subject Char"/>
    <w:basedOn w:val="CommentTextChar"/>
    <w:link w:val="CommentSubject"/>
    <w:uiPriority w:val="99"/>
    <w:semiHidden/>
    <w:rsid w:val="00E4321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3514">
      <w:bodyDiv w:val="1"/>
      <w:marLeft w:val="0"/>
      <w:marRight w:val="0"/>
      <w:marTop w:val="0"/>
      <w:marBottom w:val="0"/>
      <w:divBdr>
        <w:top w:val="none" w:sz="0" w:space="0" w:color="auto"/>
        <w:left w:val="none" w:sz="0" w:space="0" w:color="auto"/>
        <w:bottom w:val="none" w:sz="0" w:space="0" w:color="auto"/>
        <w:right w:val="none" w:sz="0" w:space="0" w:color="auto"/>
      </w:divBdr>
    </w:div>
    <w:div w:id="569929240">
      <w:bodyDiv w:val="1"/>
      <w:marLeft w:val="0"/>
      <w:marRight w:val="0"/>
      <w:marTop w:val="0"/>
      <w:marBottom w:val="0"/>
      <w:divBdr>
        <w:top w:val="none" w:sz="0" w:space="0" w:color="auto"/>
        <w:left w:val="none" w:sz="0" w:space="0" w:color="auto"/>
        <w:bottom w:val="none" w:sz="0" w:space="0" w:color="auto"/>
        <w:right w:val="none" w:sz="0" w:space="0" w:color="auto"/>
      </w:divBdr>
      <w:divsChild>
        <w:div w:id="1984461250">
          <w:marLeft w:val="0"/>
          <w:marRight w:val="0"/>
          <w:marTop w:val="0"/>
          <w:marBottom w:val="0"/>
          <w:divBdr>
            <w:top w:val="none" w:sz="0" w:space="0" w:color="auto"/>
            <w:left w:val="none" w:sz="0" w:space="0" w:color="auto"/>
            <w:bottom w:val="none" w:sz="0" w:space="0" w:color="auto"/>
            <w:right w:val="none" w:sz="0" w:space="0" w:color="auto"/>
          </w:divBdr>
        </w:div>
        <w:div w:id="666982324">
          <w:marLeft w:val="0"/>
          <w:marRight w:val="0"/>
          <w:marTop w:val="0"/>
          <w:marBottom w:val="0"/>
          <w:divBdr>
            <w:top w:val="none" w:sz="0" w:space="0" w:color="auto"/>
            <w:left w:val="none" w:sz="0" w:space="0" w:color="auto"/>
            <w:bottom w:val="none" w:sz="0" w:space="0" w:color="auto"/>
            <w:right w:val="none" w:sz="0" w:space="0" w:color="auto"/>
          </w:divBdr>
        </w:div>
        <w:div w:id="1145009196">
          <w:marLeft w:val="0"/>
          <w:marRight w:val="0"/>
          <w:marTop w:val="0"/>
          <w:marBottom w:val="0"/>
          <w:divBdr>
            <w:top w:val="none" w:sz="0" w:space="0" w:color="auto"/>
            <w:left w:val="none" w:sz="0" w:space="0" w:color="auto"/>
            <w:bottom w:val="none" w:sz="0" w:space="0" w:color="auto"/>
            <w:right w:val="none" w:sz="0" w:space="0" w:color="auto"/>
          </w:divBdr>
        </w:div>
        <w:div w:id="1934243233">
          <w:marLeft w:val="0"/>
          <w:marRight w:val="0"/>
          <w:marTop w:val="0"/>
          <w:marBottom w:val="0"/>
          <w:divBdr>
            <w:top w:val="none" w:sz="0" w:space="0" w:color="auto"/>
            <w:left w:val="none" w:sz="0" w:space="0" w:color="auto"/>
            <w:bottom w:val="none" w:sz="0" w:space="0" w:color="auto"/>
            <w:right w:val="none" w:sz="0" w:space="0" w:color="auto"/>
          </w:divBdr>
        </w:div>
        <w:div w:id="1853185016">
          <w:marLeft w:val="0"/>
          <w:marRight w:val="0"/>
          <w:marTop w:val="0"/>
          <w:marBottom w:val="0"/>
          <w:divBdr>
            <w:top w:val="none" w:sz="0" w:space="0" w:color="auto"/>
            <w:left w:val="none" w:sz="0" w:space="0" w:color="auto"/>
            <w:bottom w:val="none" w:sz="0" w:space="0" w:color="auto"/>
            <w:right w:val="none" w:sz="0" w:space="0" w:color="auto"/>
          </w:divBdr>
        </w:div>
        <w:div w:id="1629159909">
          <w:marLeft w:val="0"/>
          <w:marRight w:val="0"/>
          <w:marTop w:val="0"/>
          <w:marBottom w:val="0"/>
          <w:divBdr>
            <w:top w:val="none" w:sz="0" w:space="0" w:color="auto"/>
            <w:left w:val="none" w:sz="0" w:space="0" w:color="auto"/>
            <w:bottom w:val="none" w:sz="0" w:space="0" w:color="auto"/>
            <w:right w:val="none" w:sz="0" w:space="0" w:color="auto"/>
          </w:divBdr>
        </w:div>
        <w:div w:id="848524766">
          <w:marLeft w:val="0"/>
          <w:marRight w:val="0"/>
          <w:marTop w:val="0"/>
          <w:marBottom w:val="0"/>
          <w:divBdr>
            <w:top w:val="none" w:sz="0" w:space="0" w:color="auto"/>
            <w:left w:val="none" w:sz="0" w:space="0" w:color="auto"/>
            <w:bottom w:val="none" w:sz="0" w:space="0" w:color="auto"/>
            <w:right w:val="none" w:sz="0" w:space="0" w:color="auto"/>
          </w:divBdr>
        </w:div>
        <w:div w:id="1912154702">
          <w:marLeft w:val="0"/>
          <w:marRight w:val="0"/>
          <w:marTop w:val="0"/>
          <w:marBottom w:val="0"/>
          <w:divBdr>
            <w:top w:val="none" w:sz="0" w:space="0" w:color="auto"/>
            <w:left w:val="none" w:sz="0" w:space="0" w:color="auto"/>
            <w:bottom w:val="none" w:sz="0" w:space="0" w:color="auto"/>
            <w:right w:val="none" w:sz="0" w:space="0" w:color="auto"/>
          </w:divBdr>
        </w:div>
        <w:div w:id="319039938">
          <w:marLeft w:val="0"/>
          <w:marRight w:val="0"/>
          <w:marTop w:val="0"/>
          <w:marBottom w:val="0"/>
          <w:divBdr>
            <w:top w:val="none" w:sz="0" w:space="0" w:color="auto"/>
            <w:left w:val="none" w:sz="0" w:space="0" w:color="auto"/>
            <w:bottom w:val="none" w:sz="0" w:space="0" w:color="auto"/>
            <w:right w:val="none" w:sz="0" w:space="0" w:color="auto"/>
          </w:divBdr>
        </w:div>
        <w:div w:id="511802851">
          <w:marLeft w:val="0"/>
          <w:marRight w:val="0"/>
          <w:marTop w:val="0"/>
          <w:marBottom w:val="0"/>
          <w:divBdr>
            <w:top w:val="none" w:sz="0" w:space="0" w:color="auto"/>
            <w:left w:val="none" w:sz="0" w:space="0" w:color="auto"/>
            <w:bottom w:val="none" w:sz="0" w:space="0" w:color="auto"/>
            <w:right w:val="none" w:sz="0" w:space="0" w:color="auto"/>
          </w:divBdr>
        </w:div>
        <w:div w:id="247623066">
          <w:marLeft w:val="0"/>
          <w:marRight w:val="0"/>
          <w:marTop w:val="0"/>
          <w:marBottom w:val="0"/>
          <w:divBdr>
            <w:top w:val="none" w:sz="0" w:space="0" w:color="auto"/>
            <w:left w:val="none" w:sz="0" w:space="0" w:color="auto"/>
            <w:bottom w:val="none" w:sz="0" w:space="0" w:color="auto"/>
            <w:right w:val="none" w:sz="0" w:space="0" w:color="auto"/>
          </w:divBdr>
        </w:div>
        <w:div w:id="1580869755">
          <w:marLeft w:val="0"/>
          <w:marRight w:val="0"/>
          <w:marTop w:val="0"/>
          <w:marBottom w:val="0"/>
          <w:divBdr>
            <w:top w:val="none" w:sz="0" w:space="0" w:color="auto"/>
            <w:left w:val="none" w:sz="0" w:space="0" w:color="auto"/>
            <w:bottom w:val="none" w:sz="0" w:space="0" w:color="auto"/>
            <w:right w:val="none" w:sz="0" w:space="0" w:color="auto"/>
          </w:divBdr>
        </w:div>
        <w:div w:id="74516501">
          <w:marLeft w:val="0"/>
          <w:marRight w:val="0"/>
          <w:marTop w:val="0"/>
          <w:marBottom w:val="0"/>
          <w:divBdr>
            <w:top w:val="none" w:sz="0" w:space="0" w:color="auto"/>
            <w:left w:val="none" w:sz="0" w:space="0" w:color="auto"/>
            <w:bottom w:val="none" w:sz="0" w:space="0" w:color="auto"/>
            <w:right w:val="none" w:sz="0" w:space="0" w:color="auto"/>
          </w:divBdr>
        </w:div>
        <w:div w:id="264772706">
          <w:marLeft w:val="0"/>
          <w:marRight w:val="0"/>
          <w:marTop w:val="0"/>
          <w:marBottom w:val="0"/>
          <w:divBdr>
            <w:top w:val="none" w:sz="0" w:space="0" w:color="auto"/>
            <w:left w:val="none" w:sz="0" w:space="0" w:color="auto"/>
            <w:bottom w:val="none" w:sz="0" w:space="0" w:color="auto"/>
            <w:right w:val="none" w:sz="0" w:space="0" w:color="auto"/>
          </w:divBdr>
        </w:div>
        <w:div w:id="1673219662">
          <w:marLeft w:val="0"/>
          <w:marRight w:val="0"/>
          <w:marTop w:val="0"/>
          <w:marBottom w:val="0"/>
          <w:divBdr>
            <w:top w:val="none" w:sz="0" w:space="0" w:color="auto"/>
            <w:left w:val="none" w:sz="0" w:space="0" w:color="auto"/>
            <w:bottom w:val="none" w:sz="0" w:space="0" w:color="auto"/>
            <w:right w:val="none" w:sz="0" w:space="0" w:color="auto"/>
          </w:divBdr>
        </w:div>
      </w:divsChild>
    </w:div>
    <w:div w:id="805318815">
      <w:bodyDiv w:val="1"/>
      <w:marLeft w:val="0"/>
      <w:marRight w:val="0"/>
      <w:marTop w:val="0"/>
      <w:marBottom w:val="0"/>
      <w:divBdr>
        <w:top w:val="none" w:sz="0" w:space="0" w:color="auto"/>
        <w:left w:val="none" w:sz="0" w:space="0" w:color="auto"/>
        <w:bottom w:val="none" w:sz="0" w:space="0" w:color="auto"/>
        <w:right w:val="none" w:sz="0" w:space="0" w:color="auto"/>
      </w:divBdr>
    </w:div>
    <w:div w:id="1010063415">
      <w:bodyDiv w:val="1"/>
      <w:marLeft w:val="0"/>
      <w:marRight w:val="0"/>
      <w:marTop w:val="0"/>
      <w:marBottom w:val="0"/>
      <w:divBdr>
        <w:top w:val="none" w:sz="0" w:space="0" w:color="auto"/>
        <w:left w:val="none" w:sz="0" w:space="0" w:color="auto"/>
        <w:bottom w:val="none" w:sz="0" w:space="0" w:color="auto"/>
        <w:right w:val="none" w:sz="0" w:space="0" w:color="auto"/>
      </w:divBdr>
    </w:div>
    <w:div w:id="1861703776">
      <w:bodyDiv w:val="1"/>
      <w:marLeft w:val="0"/>
      <w:marRight w:val="0"/>
      <w:marTop w:val="0"/>
      <w:marBottom w:val="0"/>
      <w:divBdr>
        <w:top w:val="none" w:sz="0" w:space="0" w:color="auto"/>
        <w:left w:val="none" w:sz="0" w:space="0" w:color="auto"/>
        <w:bottom w:val="none" w:sz="0" w:space="0" w:color="auto"/>
        <w:right w:val="none" w:sz="0" w:space="0" w:color="auto"/>
      </w:divBdr>
    </w:div>
    <w:div w:id="1864125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hmrc.gov.au/about-us/publications/australian-guidelines-prevention-and-control-infection-healthcare-20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t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2.health.wa.gov.au/Articles/S_T/Skin-penetration-procedures-and-the-law" TargetMode="External"/><Relationship Id="rId5" Type="http://schemas.openxmlformats.org/officeDocument/2006/relationships/settings" Target="settings.xml"/><Relationship Id="rId15" Type="http://schemas.openxmlformats.org/officeDocument/2006/relationships/hyperlink" Target="http://www.health.wa.gov.a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41853\Desktop\Private%20morg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6FB4-27E0-42A3-82B2-8275BCD7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Private morgue</Template>
  <TotalTime>1</TotalTime>
  <Pages>7</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DoH Report Template</vt:lpstr>
    </vt:vector>
  </TitlesOfParts>
  <Company>WA Health</Company>
  <LinksUpToDate>false</LinksUpToDate>
  <CharactersWithSpaces>10970</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1572920</vt:i4>
      </vt:variant>
      <vt:variant>
        <vt:i4>8</vt:i4>
      </vt:variant>
      <vt:variant>
        <vt:i4>0</vt:i4>
      </vt:variant>
      <vt:variant>
        <vt:i4>5</vt:i4>
      </vt:variant>
      <vt:variant>
        <vt:lpwstr/>
      </vt:variant>
      <vt:variant>
        <vt:lpwstr>_Toc412469839</vt:lpwstr>
      </vt:variant>
      <vt:variant>
        <vt:i4>1572920</vt:i4>
      </vt:variant>
      <vt:variant>
        <vt:i4>2</vt:i4>
      </vt:variant>
      <vt:variant>
        <vt:i4>0</vt:i4>
      </vt:variant>
      <vt:variant>
        <vt:i4>5</vt:i4>
      </vt:variant>
      <vt:variant>
        <vt:lpwstr/>
      </vt:variant>
      <vt:variant>
        <vt:lpwstr>_Toc412469838</vt:lpwstr>
      </vt:variant>
      <vt:variant>
        <vt:i4>4587612</vt:i4>
      </vt:variant>
      <vt:variant>
        <vt:i4>7529</vt:i4>
      </vt:variant>
      <vt:variant>
        <vt:i4>1025</vt:i4>
      </vt:variant>
      <vt:variant>
        <vt:i4>4</vt:i4>
      </vt:variant>
      <vt:variant>
        <vt:lpwstr>http://www.health.wa.gov.au/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Report Template</dc:title>
  <dc:subject>Word Template</dc:subject>
  <dc:creator>Bangor-Jones, Revle</dc:creator>
  <cp:keywords>template, report, style guide,</cp:keywords>
  <cp:lastModifiedBy>Bangor-Jones, Revle</cp:lastModifiedBy>
  <cp:revision>2</cp:revision>
  <cp:lastPrinted>2016-12-16T05:29:00Z</cp:lastPrinted>
  <dcterms:created xsi:type="dcterms:W3CDTF">2018-12-20T05:13:00Z</dcterms:created>
  <dcterms:modified xsi:type="dcterms:W3CDTF">2018-12-20T05:13:00Z</dcterms:modified>
</cp:coreProperties>
</file>