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5B" w:rsidRPr="00E775B0" w:rsidRDefault="002E5F5B" w:rsidP="00E775B0">
      <w:r>
        <w:rPr>
          <w:noProof/>
          <w:lang w:eastAsia="en-AU"/>
        </w:rPr>
        <w:drawing>
          <wp:inline distT="0" distB="0" distL="0" distR="0" wp14:anchorId="377990FE" wp14:editId="4DBC36D1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D4" w:rsidRPr="002101D4" w:rsidRDefault="002101D4" w:rsidP="002101D4">
      <w:pPr>
        <w:rPr>
          <w:rFonts w:eastAsiaTheme="majorEastAsia" w:cstheme="majorBidi"/>
          <w:bCs/>
          <w:color w:val="005B6C" w:themeColor="accent1"/>
          <w:sz w:val="56"/>
          <w:szCs w:val="56"/>
        </w:rPr>
      </w:pPr>
      <w:r w:rsidRPr="002101D4">
        <w:rPr>
          <w:rFonts w:eastAsiaTheme="majorEastAsia" w:cstheme="majorBidi"/>
          <w:bCs/>
          <w:color w:val="005B6C" w:themeColor="accent1"/>
          <w:sz w:val="56"/>
          <w:szCs w:val="56"/>
        </w:rPr>
        <w:t>Youth Friendly Health Service Checklist</w:t>
      </w:r>
    </w:p>
    <w:p w:rsidR="002101D4" w:rsidRPr="002101D4" w:rsidRDefault="002101D4" w:rsidP="002101D4">
      <w:pPr>
        <w:rPr>
          <w:rFonts w:eastAsiaTheme="majorEastAsia" w:cstheme="majorBidi"/>
          <w:b/>
          <w:bCs/>
          <w:color w:val="005B6C" w:themeColor="accent1"/>
          <w:sz w:val="30"/>
          <w:szCs w:val="26"/>
        </w:rPr>
      </w:pPr>
      <w:r w:rsidRPr="002101D4">
        <w:rPr>
          <w:rFonts w:eastAsiaTheme="majorEastAsia" w:cstheme="majorBidi"/>
          <w:b/>
          <w:bCs/>
          <w:color w:val="005B6C" w:themeColor="accent1"/>
          <w:sz w:val="30"/>
          <w:szCs w:val="26"/>
        </w:rPr>
        <w:t>Instructions for completion</w:t>
      </w:r>
    </w:p>
    <w:p w:rsidR="002101D4" w:rsidRPr="001F3408" w:rsidRDefault="002101D4" w:rsidP="002101D4">
      <w:pPr>
        <w:rPr>
          <w:sz w:val="22"/>
        </w:rPr>
      </w:pPr>
      <w:r w:rsidRPr="001F3408">
        <w:rPr>
          <w:sz w:val="22"/>
        </w:rPr>
        <w:t>This checklist has been developed as a resource to assist health services</w:t>
      </w:r>
      <w:r w:rsidR="00050D91">
        <w:rPr>
          <w:sz w:val="22"/>
        </w:rPr>
        <w:t xml:space="preserve"> in Western Australia </w:t>
      </w:r>
      <w:r w:rsidRPr="001F3408">
        <w:rPr>
          <w:sz w:val="22"/>
        </w:rPr>
        <w:t>to plan, improve, and review health services for young people</w:t>
      </w:r>
      <w:r w:rsidR="00E0060F">
        <w:rPr>
          <w:sz w:val="22"/>
        </w:rPr>
        <w:t xml:space="preserve"> (aged 10-24)</w:t>
      </w:r>
      <w:r w:rsidRPr="001F3408">
        <w:rPr>
          <w:sz w:val="22"/>
        </w:rPr>
        <w:t xml:space="preserve">.  This checklist aligns with the </w:t>
      </w:r>
      <w:hyperlink r:id="rId9" w:history="1">
        <w:r w:rsidRPr="001F3408">
          <w:rPr>
            <w:rStyle w:val="Hyperlink"/>
            <w:sz w:val="22"/>
          </w:rPr>
          <w:t>WA Youth Health Policy 2018-2023</w:t>
        </w:r>
      </w:hyperlink>
      <w:r w:rsidR="005C1114" w:rsidRPr="005C1114">
        <w:rPr>
          <w:rStyle w:val="Hyperlink"/>
          <w:sz w:val="22"/>
          <w:u w:val="none"/>
        </w:rPr>
        <w:t xml:space="preserve"> </w:t>
      </w:r>
      <w:r w:rsidR="005C1114" w:rsidRPr="005C1114">
        <w:rPr>
          <w:rStyle w:val="Hyperlink"/>
          <w:color w:val="auto"/>
          <w:sz w:val="22"/>
          <w:u w:val="none"/>
        </w:rPr>
        <w:t>(the Policy)</w:t>
      </w:r>
      <w:r w:rsidR="00916526">
        <w:rPr>
          <w:sz w:val="22"/>
        </w:rPr>
        <w:t xml:space="preserve"> and provides the opportunity to assess and monitor progress in achieving optimal health and wellbeing for young people as per the Policy’s Checklist p31-34.</w:t>
      </w:r>
    </w:p>
    <w:p w:rsidR="002101D4" w:rsidRPr="002101D4" w:rsidRDefault="002101D4" w:rsidP="002101D4">
      <w:pPr>
        <w:rPr>
          <w:rFonts w:eastAsiaTheme="majorEastAsia" w:cstheme="majorBidi"/>
          <w:b/>
          <w:bCs/>
          <w:color w:val="005B6C" w:themeColor="accent1"/>
          <w:sz w:val="30"/>
          <w:szCs w:val="26"/>
        </w:rPr>
      </w:pPr>
      <w:r w:rsidRPr="002101D4">
        <w:rPr>
          <w:rFonts w:eastAsiaTheme="majorEastAsia" w:cstheme="majorBidi"/>
          <w:b/>
          <w:bCs/>
          <w:color w:val="005B6C" w:themeColor="accent1"/>
          <w:sz w:val="30"/>
          <w:szCs w:val="26"/>
        </w:rPr>
        <w:t>Who is this checklist for?</w:t>
      </w:r>
    </w:p>
    <w:p w:rsidR="002101D4" w:rsidRPr="001F3408" w:rsidRDefault="002101D4" w:rsidP="002101D4">
      <w:pPr>
        <w:rPr>
          <w:sz w:val="22"/>
        </w:rPr>
      </w:pPr>
      <w:r w:rsidRPr="001F3408">
        <w:rPr>
          <w:sz w:val="22"/>
        </w:rPr>
        <w:t>This checklist can be used by any health service that young people access</w:t>
      </w:r>
      <w:r w:rsidR="00BC15A7">
        <w:rPr>
          <w:sz w:val="22"/>
        </w:rPr>
        <w:t xml:space="preserve">. </w:t>
      </w:r>
      <w:r w:rsidR="00BC15A7" w:rsidRPr="001F3408">
        <w:rPr>
          <w:sz w:val="22"/>
        </w:rPr>
        <w:t xml:space="preserve">This includes services whose primary </w:t>
      </w:r>
      <w:r w:rsidR="00BC15A7" w:rsidRPr="00BC15A7">
        <w:rPr>
          <w:sz w:val="22"/>
        </w:rPr>
        <w:t>consumers</w:t>
      </w:r>
      <w:r w:rsidR="00BC15A7" w:rsidRPr="001F3408">
        <w:rPr>
          <w:sz w:val="22"/>
        </w:rPr>
        <w:t xml:space="preserve"> may not be young people.  </w:t>
      </w:r>
      <w:r w:rsidR="004643DB">
        <w:rPr>
          <w:sz w:val="22"/>
        </w:rPr>
        <w:t xml:space="preserve"> </w:t>
      </w:r>
      <w:r w:rsidRPr="001F3408">
        <w:rPr>
          <w:sz w:val="22"/>
        </w:rPr>
        <w:t>T</w:t>
      </w:r>
      <w:r w:rsidR="004643DB">
        <w:rPr>
          <w:sz w:val="22"/>
        </w:rPr>
        <w:t xml:space="preserve">he checklist is relevant to </w:t>
      </w:r>
      <w:r w:rsidR="00BC15A7">
        <w:rPr>
          <w:sz w:val="22"/>
        </w:rPr>
        <w:t xml:space="preserve">all health services including </w:t>
      </w:r>
      <w:r w:rsidR="004643DB">
        <w:rPr>
          <w:sz w:val="22"/>
        </w:rPr>
        <w:t xml:space="preserve">primary, </w:t>
      </w:r>
      <w:r w:rsidR="00BC15A7">
        <w:rPr>
          <w:sz w:val="22"/>
        </w:rPr>
        <w:t xml:space="preserve">secondary and tertiary </w:t>
      </w:r>
      <w:r w:rsidR="00D659BF">
        <w:rPr>
          <w:sz w:val="22"/>
        </w:rPr>
        <w:t xml:space="preserve">health services </w:t>
      </w:r>
      <w:r w:rsidR="00BC15A7">
        <w:rPr>
          <w:sz w:val="22"/>
        </w:rPr>
        <w:t>enco</w:t>
      </w:r>
      <w:r w:rsidR="00E0060F">
        <w:rPr>
          <w:sz w:val="22"/>
        </w:rPr>
        <w:t xml:space="preserve">mpassing those in the community, </w:t>
      </w:r>
      <w:r w:rsidR="00BC15A7">
        <w:rPr>
          <w:sz w:val="22"/>
        </w:rPr>
        <w:t>healthcare</w:t>
      </w:r>
      <w:r w:rsidR="00E0060F">
        <w:rPr>
          <w:sz w:val="22"/>
        </w:rPr>
        <w:t xml:space="preserve"> and inpatient</w:t>
      </w:r>
      <w:r w:rsidR="00BC15A7">
        <w:rPr>
          <w:sz w:val="22"/>
        </w:rPr>
        <w:t xml:space="preserve"> settings. </w:t>
      </w:r>
    </w:p>
    <w:p w:rsidR="002101D4" w:rsidRPr="002101D4" w:rsidRDefault="002101D4" w:rsidP="002101D4">
      <w:pPr>
        <w:rPr>
          <w:rFonts w:eastAsiaTheme="majorEastAsia" w:cstheme="majorBidi"/>
          <w:b/>
          <w:bCs/>
          <w:color w:val="005B6C" w:themeColor="accent1"/>
          <w:sz w:val="30"/>
          <w:szCs w:val="26"/>
        </w:rPr>
      </w:pPr>
      <w:r w:rsidRPr="002101D4">
        <w:rPr>
          <w:rFonts w:eastAsiaTheme="majorEastAsia" w:cstheme="majorBidi"/>
          <w:b/>
          <w:bCs/>
          <w:color w:val="005B6C" w:themeColor="accent1"/>
          <w:sz w:val="30"/>
          <w:szCs w:val="26"/>
        </w:rPr>
        <w:t>Why is this checklist needed?</w:t>
      </w:r>
    </w:p>
    <w:p w:rsidR="002101D4" w:rsidRDefault="002101D4" w:rsidP="002101D4">
      <w:pPr>
        <w:pStyle w:val="ListParagraph"/>
        <w:numPr>
          <w:ilvl w:val="0"/>
          <w:numId w:val="5"/>
        </w:numPr>
        <w:rPr>
          <w:sz w:val="22"/>
        </w:rPr>
      </w:pPr>
      <w:r w:rsidRPr="00A20661">
        <w:rPr>
          <w:sz w:val="22"/>
        </w:rPr>
        <w:t xml:space="preserve">Young people may be reluctant consumers of health services and delay seeking help. Services should promote themselves to young people to break down barriers. </w:t>
      </w:r>
    </w:p>
    <w:p w:rsidR="002101D4" w:rsidRPr="00A20661" w:rsidRDefault="002101D4" w:rsidP="002101D4">
      <w:pPr>
        <w:pStyle w:val="ListParagraph"/>
        <w:rPr>
          <w:sz w:val="22"/>
        </w:rPr>
      </w:pPr>
    </w:p>
    <w:p w:rsidR="002101D4" w:rsidRDefault="002101D4" w:rsidP="002101D4">
      <w:pPr>
        <w:pStyle w:val="ListParagraph"/>
        <w:numPr>
          <w:ilvl w:val="0"/>
          <w:numId w:val="5"/>
        </w:numPr>
        <w:rPr>
          <w:sz w:val="22"/>
        </w:rPr>
      </w:pPr>
      <w:r w:rsidRPr="00A20661">
        <w:rPr>
          <w:sz w:val="22"/>
        </w:rPr>
        <w:t>Adolescence is a time of increased risk-taking behaviour, so is a key time to promote healthy behaviours.  Intervention in adolescence can have long term health benefits and prevent serious long-term conditions.</w:t>
      </w:r>
    </w:p>
    <w:p w:rsidR="002101D4" w:rsidRPr="00A20661" w:rsidRDefault="002101D4" w:rsidP="002101D4">
      <w:pPr>
        <w:pStyle w:val="ListParagraph"/>
        <w:rPr>
          <w:sz w:val="22"/>
        </w:rPr>
      </w:pPr>
    </w:p>
    <w:p w:rsidR="002101D4" w:rsidRDefault="002101D4" w:rsidP="002101D4">
      <w:pPr>
        <w:pStyle w:val="ListParagraph"/>
        <w:numPr>
          <w:ilvl w:val="0"/>
          <w:numId w:val="5"/>
        </w:numPr>
        <w:rPr>
          <w:sz w:val="22"/>
        </w:rPr>
      </w:pPr>
      <w:r w:rsidRPr="00A20661">
        <w:rPr>
          <w:sz w:val="22"/>
        </w:rPr>
        <w:t>Some young people are more vulnerable due to disabilities, chronic illnesses or experiencing abuse. Others are marginalised because of sexual orientation or cultural background.</w:t>
      </w:r>
    </w:p>
    <w:p w:rsidR="002101D4" w:rsidRPr="00A20661" w:rsidRDefault="002101D4" w:rsidP="002101D4">
      <w:pPr>
        <w:pStyle w:val="ListParagraph"/>
        <w:rPr>
          <w:sz w:val="22"/>
        </w:rPr>
      </w:pPr>
    </w:p>
    <w:p w:rsidR="002101D4" w:rsidRDefault="002101D4" w:rsidP="002101D4">
      <w:pPr>
        <w:pStyle w:val="ListParagraph"/>
        <w:numPr>
          <w:ilvl w:val="0"/>
          <w:numId w:val="5"/>
        </w:numPr>
        <w:rPr>
          <w:sz w:val="22"/>
        </w:rPr>
      </w:pPr>
      <w:r w:rsidRPr="00A20661">
        <w:rPr>
          <w:sz w:val="22"/>
        </w:rPr>
        <w:t>Research has provided new insights into how to make services more accessible and welcoming to young people.</w:t>
      </w:r>
    </w:p>
    <w:p w:rsidR="005C1114" w:rsidRPr="005C1114" w:rsidRDefault="005C1114" w:rsidP="005C1114">
      <w:pPr>
        <w:pStyle w:val="ListParagraph"/>
        <w:rPr>
          <w:sz w:val="22"/>
        </w:rPr>
      </w:pPr>
    </w:p>
    <w:p w:rsidR="005C1114" w:rsidRPr="005C1114" w:rsidRDefault="005C1114" w:rsidP="005C1114">
      <w:pPr>
        <w:pStyle w:val="ListParagraph"/>
        <w:numPr>
          <w:ilvl w:val="0"/>
          <w:numId w:val="5"/>
        </w:numPr>
        <w:rPr>
          <w:sz w:val="22"/>
        </w:rPr>
      </w:pPr>
      <w:r w:rsidRPr="005C1114">
        <w:rPr>
          <w:sz w:val="22"/>
        </w:rPr>
        <w:t xml:space="preserve">The Child and Youth Health Network are developing a </w:t>
      </w:r>
      <w:r>
        <w:rPr>
          <w:sz w:val="22"/>
        </w:rPr>
        <w:t>t</w:t>
      </w:r>
      <w:r w:rsidRPr="005C1114">
        <w:rPr>
          <w:sz w:val="22"/>
        </w:rPr>
        <w:t xml:space="preserve">oolkit </w:t>
      </w:r>
      <w:r>
        <w:rPr>
          <w:sz w:val="22"/>
        </w:rPr>
        <w:t>to facilitate the implementation of the Policy.</w:t>
      </w:r>
      <w:r w:rsidRPr="005C1114">
        <w:rPr>
          <w:sz w:val="22"/>
        </w:rPr>
        <w:t xml:space="preserve">  </w:t>
      </w:r>
      <w:r w:rsidR="00000814">
        <w:rPr>
          <w:sz w:val="22"/>
        </w:rPr>
        <w:t>Checklist results will be used to guide development of resources for this toolkit.</w:t>
      </w:r>
    </w:p>
    <w:p w:rsidR="002101D4" w:rsidRPr="002101D4" w:rsidRDefault="002101D4" w:rsidP="002101D4">
      <w:pPr>
        <w:rPr>
          <w:rFonts w:eastAsiaTheme="majorEastAsia" w:cstheme="majorBidi"/>
          <w:b/>
          <w:bCs/>
          <w:color w:val="005B6C" w:themeColor="accent1"/>
          <w:sz w:val="30"/>
          <w:szCs w:val="26"/>
        </w:rPr>
      </w:pPr>
      <w:r w:rsidRPr="002101D4">
        <w:rPr>
          <w:rFonts w:eastAsiaTheme="majorEastAsia" w:cstheme="majorBidi"/>
          <w:b/>
          <w:bCs/>
          <w:color w:val="005B6C" w:themeColor="accent1"/>
          <w:sz w:val="30"/>
          <w:szCs w:val="26"/>
        </w:rPr>
        <w:t>How to use this checklist:</w:t>
      </w:r>
    </w:p>
    <w:p w:rsidR="002101D4" w:rsidRDefault="002101D4" w:rsidP="002101D4">
      <w:pPr>
        <w:pStyle w:val="ListParagraph"/>
        <w:numPr>
          <w:ilvl w:val="0"/>
          <w:numId w:val="2"/>
        </w:numPr>
        <w:rPr>
          <w:sz w:val="22"/>
        </w:rPr>
      </w:pPr>
      <w:r w:rsidRPr="001F3408">
        <w:rPr>
          <w:sz w:val="22"/>
        </w:rPr>
        <w:t>The self-assessor should answer each question in the checklist by selecting ‘yes’ ‘no’ or ‘partly achieved’.</w:t>
      </w:r>
      <w:r w:rsidR="00C9792D">
        <w:rPr>
          <w:sz w:val="22"/>
        </w:rPr>
        <w:t xml:space="preserve"> </w:t>
      </w:r>
      <w:r w:rsidR="00125C31">
        <w:rPr>
          <w:sz w:val="22"/>
        </w:rPr>
        <w:t>Please answer all questions. Each question has space for optional comments.</w:t>
      </w:r>
    </w:p>
    <w:p w:rsidR="002101D4" w:rsidRPr="001F3408" w:rsidRDefault="002101D4" w:rsidP="002101D4">
      <w:pPr>
        <w:pStyle w:val="ListParagraph"/>
        <w:rPr>
          <w:sz w:val="22"/>
        </w:rPr>
      </w:pPr>
    </w:p>
    <w:p w:rsidR="002101D4" w:rsidRDefault="002101D4" w:rsidP="002101D4">
      <w:pPr>
        <w:pStyle w:val="ListParagraph"/>
        <w:numPr>
          <w:ilvl w:val="0"/>
          <w:numId w:val="2"/>
        </w:numPr>
        <w:rPr>
          <w:sz w:val="22"/>
        </w:rPr>
      </w:pPr>
      <w:r w:rsidRPr="001F3408">
        <w:rPr>
          <w:sz w:val="22"/>
        </w:rPr>
        <w:t xml:space="preserve">The checklist includes spaces for services to describe their current approach as well as spaces for services to plan how to improve.   </w:t>
      </w:r>
    </w:p>
    <w:p w:rsidR="002101D4" w:rsidRPr="001F3408" w:rsidRDefault="002101D4" w:rsidP="002101D4">
      <w:pPr>
        <w:pStyle w:val="ListParagraph"/>
        <w:rPr>
          <w:sz w:val="22"/>
        </w:rPr>
      </w:pPr>
    </w:p>
    <w:p w:rsidR="002101D4" w:rsidRDefault="002101D4" w:rsidP="002101D4">
      <w:pPr>
        <w:pStyle w:val="ListParagraph"/>
        <w:numPr>
          <w:ilvl w:val="0"/>
          <w:numId w:val="2"/>
        </w:numPr>
        <w:rPr>
          <w:sz w:val="22"/>
        </w:rPr>
      </w:pPr>
      <w:r w:rsidRPr="001F3408">
        <w:rPr>
          <w:sz w:val="22"/>
        </w:rPr>
        <w:t xml:space="preserve">The checklist can be completed by an individual on behalf of a service, or can be used to enable team discussion and planning.  Collaboration with the organisation’s consumer advisory group or representative is recommended. </w:t>
      </w:r>
    </w:p>
    <w:p w:rsidR="002101D4" w:rsidRPr="00A20661" w:rsidRDefault="002101D4" w:rsidP="002101D4">
      <w:pPr>
        <w:pStyle w:val="ListParagraph"/>
        <w:rPr>
          <w:sz w:val="22"/>
        </w:rPr>
      </w:pPr>
    </w:p>
    <w:p w:rsidR="002101D4" w:rsidRDefault="002101D4" w:rsidP="002101D4">
      <w:pPr>
        <w:pStyle w:val="ListParagraph"/>
        <w:numPr>
          <w:ilvl w:val="0"/>
          <w:numId w:val="2"/>
        </w:numPr>
        <w:rPr>
          <w:sz w:val="22"/>
        </w:rPr>
      </w:pPr>
      <w:r w:rsidRPr="001F3408">
        <w:rPr>
          <w:sz w:val="22"/>
        </w:rPr>
        <w:t xml:space="preserve">This checklist can be saved electronically, enabling sharing, collation and tracking. </w:t>
      </w:r>
    </w:p>
    <w:p w:rsidR="002101D4" w:rsidRPr="001F3408" w:rsidRDefault="002101D4" w:rsidP="002101D4">
      <w:pPr>
        <w:pStyle w:val="ListParagraph"/>
        <w:rPr>
          <w:sz w:val="22"/>
        </w:rPr>
      </w:pPr>
    </w:p>
    <w:p w:rsidR="002101D4" w:rsidRDefault="002101D4" w:rsidP="002101D4">
      <w:pPr>
        <w:pStyle w:val="ListParagraph"/>
        <w:numPr>
          <w:ilvl w:val="0"/>
          <w:numId w:val="2"/>
        </w:numPr>
        <w:rPr>
          <w:sz w:val="22"/>
        </w:rPr>
      </w:pPr>
      <w:r w:rsidRPr="001F3408">
        <w:rPr>
          <w:sz w:val="22"/>
        </w:rPr>
        <w:t xml:space="preserve">By collating results, areas can identify recurring themes that can be addressed through collaborative projects, sharing resources to improve services. </w:t>
      </w:r>
    </w:p>
    <w:p w:rsidR="002101D4" w:rsidRPr="00A20661" w:rsidRDefault="002101D4" w:rsidP="002101D4">
      <w:pPr>
        <w:pStyle w:val="ListParagraph"/>
        <w:rPr>
          <w:sz w:val="22"/>
        </w:rPr>
      </w:pPr>
    </w:p>
    <w:p w:rsidR="002101D4" w:rsidRDefault="002101D4" w:rsidP="002101D4">
      <w:pPr>
        <w:pStyle w:val="ListParagraph"/>
        <w:numPr>
          <w:ilvl w:val="0"/>
          <w:numId w:val="2"/>
        </w:numPr>
        <w:rPr>
          <w:sz w:val="22"/>
        </w:rPr>
      </w:pPr>
      <w:r w:rsidRPr="001F3408">
        <w:rPr>
          <w:sz w:val="22"/>
        </w:rPr>
        <w:t xml:space="preserve">Repeated use of the checklist can capture improvements over time. </w:t>
      </w:r>
    </w:p>
    <w:p w:rsidR="005C1114" w:rsidRPr="005C1114" w:rsidRDefault="005C1114" w:rsidP="005C1114">
      <w:pPr>
        <w:pStyle w:val="ListParagraph"/>
        <w:rPr>
          <w:sz w:val="22"/>
        </w:rPr>
      </w:pPr>
    </w:p>
    <w:p w:rsidR="005C1114" w:rsidRDefault="005C1114" w:rsidP="002101D4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Send the completed checklist to the Child and Youth Health network via </w:t>
      </w:r>
      <w:hyperlink r:id="rId10" w:history="1">
        <w:r w:rsidRPr="007A1946">
          <w:rPr>
            <w:rStyle w:val="Hyperlink"/>
            <w:sz w:val="22"/>
          </w:rPr>
          <w:t>email</w:t>
        </w:r>
      </w:hyperlink>
      <w:r>
        <w:rPr>
          <w:sz w:val="22"/>
        </w:rPr>
        <w:t>, subject: Child and Youth Health Network, Service Name, Youth Friendly Health Service Checklist.</w:t>
      </w:r>
      <w:r w:rsidR="00125C31">
        <w:rPr>
          <w:sz w:val="22"/>
        </w:rPr>
        <w:t xml:space="preserve"> </w:t>
      </w:r>
      <w:r w:rsidR="00125C31" w:rsidRPr="000419F4">
        <w:rPr>
          <w:sz w:val="22"/>
        </w:rPr>
        <w:t>Your stored responses will not be shared directly with other service providers.  De-identified information may b</w:t>
      </w:r>
      <w:r w:rsidR="007600DC">
        <w:rPr>
          <w:sz w:val="22"/>
        </w:rPr>
        <w:t>e shared to show progress with youth friendliness of h</w:t>
      </w:r>
      <w:r w:rsidR="00125C31" w:rsidRPr="000419F4">
        <w:rPr>
          <w:sz w:val="22"/>
        </w:rPr>
        <w:t xml:space="preserve">ealth </w:t>
      </w:r>
      <w:r w:rsidR="007600DC">
        <w:rPr>
          <w:sz w:val="22"/>
        </w:rPr>
        <w:t>s</w:t>
      </w:r>
      <w:r w:rsidR="00125C31" w:rsidRPr="000419F4">
        <w:rPr>
          <w:sz w:val="22"/>
        </w:rPr>
        <w:t>ervices.</w:t>
      </w:r>
      <w:r w:rsidR="00125C31">
        <w:rPr>
          <w:sz w:val="22"/>
        </w:rPr>
        <w:t xml:space="preserve"> </w:t>
      </w:r>
    </w:p>
    <w:p w:rsidR="002101D4" w:rsidRPr="001F3408" w:rsidRDefault="002101D4" w:rsidP="002101D4">
      <w:pPr>
        <w:pStyle w:val="ListParagraph"/>
        <w:rPr>
          <w:sz w:val="22"/>
        </w:rPr>
      </w:pPr>
    </w:p>
    <w:p w:rsidR="007A1946" w:rsidRPr="007A1946" w:rsidRDefault="007A1946" w:rsidP="007A1946">
      <w:pPr>
        <w:rPr>
          <w:rFonts w:eastAsiaTheme="majorEastAsia" w:cstheme="majorBidi"/>
          <w:b/>
          <w:bCs/>
          <w:color w:val="005B6C" w:themeColor="accent1"/>
          <w:sz w:val="30"/>
          <w:szCs w:val="26"/>
        </w:rPr>
      </w:pPr>
      <w:r w:rsidRPr="007A1946">
        <w:rPr>
          <w:rFonts w:eastAsiaTheme="majorEastAsia" w:cstheme="majorBidi"/>
          <w:b/>
          <w:bCs/>
          <w:color w:val="005B6C" w:themeColor="accent1"/>
          <w:sz w:val="30"/>
          <w:szCs w:val="26"/>
        </w:rPr>
        <w:t>Need help?</w:t>
      </w:r>
    </w:p>
    <w:p w:rsidR="007A1946" w:rsidRDefault="007A1946" w:rsidP="007A1946">
      <w:pPr>
        <w:rPr>
          <w:i/>
          <w:sz w:val="22"/>
        </w:rPr>
      </w:pPr>
      <w:r>
        <w:rPr>
          <w:sz w:val="22"/>
        </w:rPr>
        <w:t xml:space="preserve">For further information regarding youth friendly health services visit the </w:t>
      </w:r>
      <w:hyperlink r:id="rId11" w:history="1">
        <w:r w:rsidRPr="007A1946">
          <w:rPr>
            <w:rStyle w:val="Hyperlink"/>
            <w:sz w:val="22"/>
          </w:rPr>
          <w:t>Child and Youth Health Network</w:t>
        </w:r>
      </w:hyperlink>
      <w:r>
        <w:rPr>
          <w:sz w:val="22"/>
        </w:rPr>
        <w:t xml:space="preserve"> webpage where you will find the </w:t>
      </w:r>
      <w:r w:rsidRPr="007A1946">
        <w:rPr>
          <w:i/>
          <w:sz w:val="22"/>
        </w:rPr>
        <w:t>WA Youth Health Policy 2018-2023</w:t>
      </w:r>
      <w:r>
        <w:rPr>
          <w:sz w:val="22"/>
        </w:rPr>
        <w:t xml:space="preserve">, the </w:t>
      </w:r>
      <w:r w:rsidRPr="007A1946">
        <w:rPr>
          <w:i/>
          <w:sz w:val="22"/>
        </w:rPr>
        <w:t>Companion Resource</w:t>
      </w:r>
      <w:r>
        <w:rPr>
          <w:sz w:val="22"/>
        </w:rPr>
        <w:t xml:space="preserve"> and </w:t>
      </w:r>
      <w:r w:rsidRPr="007A1946">
        <w:rPr>
          <w:i/>
          <w:sz w:val="22"/>
        </w:rPr>
        <w:t>WA’s Young People Have a Say: Community Conversation Report</w:t>
      </w:r>
      <w:r>
        <w:rPr>
          <w:i/>
          <w:sz w:val="22"/>
        </w:rPr>
        <w:t>.</w:t>
      </w:r>
    </w:p>
    <w:p w:rsidR="007A1946" w:rsidRPr="007A1946" w:rsidRDefault="00050D91" w:rsidP="00050D91">
      <w:pPr>
        <w:rPr>
          <w:sz w:val="20"/>
          <w:szCs w:val="20"/>
        </w:rPr>
      </w:pPr>
      <w:r>
        <w:rPr>
          <w:sz w:val="22"/>
        </w:rPr>
        <w:t>Th</w:t>
      </w:r>
      <w:r w:rsidRPr="00050D91">
        <w:rPr>
          <w:sz w:val="22"/>
        </w:rPr>
        <w:t>e Child and Youth Health Network are developing a To</w:t>
      </w:r>
      <w:r>
        <w:rPr>
          <w:sz w:val="22"/>
        </w:rPr>
        <w:t xml:space="preserve">olkit for Policy Implementation.  </w:t>
      </w:r>
      <w:r w:rsidR="007A1946" w:rsidRPr="007A1946">
        <w:rPr>
          <w:sz w:val="22"/>
        </w:rPr>
        <w:t xml:space="preserve">If you have any queries about the checklist, </w:t>
      </w:r>
      <w:r>
        <w:rPr>
          <w:sz w:val="22"/>
        </w:rPr>
        <w:t xml:space="preserve">or would like to suggest resources to be developed as part of this toolkit, </w:t>
      </w:r>
      <w:r w:rsidR="007A1946" w:rsidRPr="007A1946">
        <w:rPr>
          <w:sz w:val="22"/>
        </w:rPr>
        <w:t xml:space="preserve">please contact Health Networks via </w:t>
      </w:r>
      <w:hyperlink r:id="rId12" w:history="1">
        <w:r w:rsidR="007A1946" w:rsidRPr="007A1946">
          <w:rPr>
            <w:rStyle w:val="Hyperlink"/>
            <w:sz w:val="22"/>
          </w:rPr>
          <w:t>email</w:t>
        </w:r>
      </w:hyperlink>
      <w:r w:rsidR="007A1946" w:rsidRPr="007A1946">
        <w:rPr>
          <w:sz w:val="22"/>
        </w:rPr>
        <w:t xml:space="preserve"> or call 9222 0200.</w:t>
      </w:r>
    </w:p>
    <w:p w:rsidR="002101D4" w:rsidRPr="002101D4" w:rsidRDefault="002101D4" w:rsidP="002101D4">
      <w:pPr>
        <w:pStyle w:val="Heading3"/>
      </w:pPr>
      <w:r w:rsidRPr="002101D4">
        <w:t>Acknowledgement</w:t>
      </w:r>
    </w:p>
    <w:p w:rsidR="002101D4" w:rsidRDefault="002101D4" w:rsidP="002101D4">
      <w:pPr>
        <w:rPr>
          <w:sz w:val="22"/>
        </w:rPr>
      </w:pPr>
      <w:r w:rsidRPr="001F3408">
        <w:rPr>
          <w:sz w:val="22"/>
        </w:rPr>
        <w:t xml:space="preserve">The Child and Youth Health Network of the Western Australian Department of Health would like to acknowledge the </w:t>
      </w:r>
      <w:r w:rsidR="00213203">
        <w:rPr>
          <w:sz w:val="22"/>
        </w:rPr>
        <w:t>NSW Ministry of Health</w:t>
      </w:r>
      <w:r w:rsidRPr="001F3408">
        <w:rPr>
          <w:sz w:val="22"/>
        </w:rPr>
        <w:t xml:space="preserve"> for allowing us to use and tailor the NSW Health </w:t>
      </w:r>
      <w:r w:rsidRPr="001F3408">
        <w:rPr>
          <w:i/>
          <w:sz w:val="22"/>
        </w:rPr>
        <w:t>Youth Friendly Checklist for Health Services</w:t>
      </w:r>
      <w:r w:rsidRPr="001F3408">
        <w:rPr>
          <w:sz w:val="22"/>
        </w:rPr>
        <w:t xml:space="preserve"> </w:t>
      </w:r>
    </w:p>
    <w:p w:rsidR="00B544AB" w:rsidRDefault="00B544AB" w:rsidP="002101D4">
      <w:pPr>
        <w:rPr>
          <w:sz w:val="22"/>
        </w:rPr>
      </w:pPr>
    </w:p>
    <w:p w:rsidR="00A47FA0" w:rsidRDefault="00A47FA0" w:rsidP="002101D4">
      <w:pPr>
        <w:rPr>
          <w:sz w:val="22"/>
        </w:rPr>
      </w:pPr>
    </w:p>
    <w:p w:rsidR="00B544AB" w:rsidRDefault="00B544AB" w:rsidP="00B544AB">
      <w:pPr>
        <w:rPr>
          <w:rFonts w:eastAsiaTheme="majorEastAsia" w:cstheme="majorBidi"/>
          <w:bCs/>
          <w:color w:val="005B6C" w:themeColor="accent1"/>
          <w:sz w:val="56"/>
          <w:szCs w:val="56"/>
        </w:rPr>
      </w:pPr>
      <w:r w:rsidRPr="002101D4">
        <w:rPr>
          <w:rFonts w:eastAsiaTheme="majorEastAsia" w:cstheme="majorBidi"/>
          <w:bCs/>
          <w:color w:val="005B6C" w:themeColor="accent1"/>
          <w:sz w:val="56"/>
          <w:szCs w:val="56"/>
        </w:rPr>
        <w:t>Youth Friendly Health Service Checklist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260"/>
        <w:gridCol w:w="5387"/>
      </w:tblGrid>
      <w:tr w:rsidR="00081D18" w:rsidRPr="00081D18" w:rsidTr="00081D18">
        <w:trPr>
          <w:trHeight w:val="391"/>
        </w:trPr>
        <w:tc>
          <w:tcPr>
            <w:tcW w:w="10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5B6C"/>
            <w:noWrap/>
            <w:vAlign w:val="bottom"/>
            <w:hideMark/>
          </w:tcPr>
          <w:p w:rsidR="00081D18" w:rsidRPr="00081D18" w:rsidRDefault="00081D18" w:rsidP="00081D18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 w:rsidRPr="00081D18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1. Service details</w:t>
            </w:r>
          </w:p>
        </w:tc>
      </w:tr>
      <w:tr w:rsidR="00081D18" w:rsidRPr="00081D18" w:rsidTr="00081D18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18" w:rsidRPr="00081D18" w:rsidRDefault="00081D18" w:rsidP="00081D18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081D18">
              <w:rPr>
                <w:rFonts w:eastAsia="Times New Roman" w:cs="Arial"/>
                <w:color w:val="000000"/>
                <w:szCs w:val="24"/>
                <w:lang w:eastAsia="en-AU"/>
              </w:rPr>
              <w:t>1.1 Service name: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18" w:rsidRPr="00081D18" w:rsidRDefault="00081D18" w:rsidP="00081D18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081D18">
              <w:rPr>
                <w:rFonts w:eastAsia="Times New Roman" w:cs="Arial"/>
                <w:color w:val="000000"/>
                <w:szCs w:val="24"/>
                <w:lang w:eastAsia="en-AU"/>
              </w:rPr>
              <w:t>1.2 Date:</w:t>
            </w:r>
          </w:p>
        </w:tc>
      </w:tr>
      <w:tr w:rsidR="00081D18" w:rsidRPr="00081D18" w:rsidTr="00081D18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18" w:rsidRPr="00081D18" w:rsidRDefault="00081D18" w:rsidP="00081D18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081D18">
              <w:rPr>
                <w:rFonts w:eastAsia="Times New Roman" w:cs="Arial"/>
                <w:color w:val="000000"/>
                <w:szCs w:val="24"/>
                <w:lang w:eastAsia="en-AU"/>
              </w:rPr>
              <w:t>1.3 Address: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18" w:rsidRPr="00081D18" w:rsidRDefault="00081D18" w:rsidP="00081D18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081D18">
              <w:rPr>
                <w:rFonts w:eastAsia="Times New Roman" w:cs="Arial"/>
                <w:color w:val="000000"/>
                <w:szCs w:val="24"/>
                <w:lang w:eastAsia="en-AU"/>
              </w:rPr>
              <w:t>1.4 Phone:</w:t>
            </w:r>
          </w:p>
        </w:tc>
      </w:tr>
      <w:tr w:rsidR="00081D18" w:rsidRPr="00081D18" w:rsidTr="00081D18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18" w:rsidRPr="00081D18" w:rsidRDefault="00081D18" w:rsidP="00081D18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081D18">
              <w:rPr>
                <w:rFonts w:eastAsia="Times New Roman" w:cs="Arial"/>
                <w:color w:val="000000"/>
                <w:szCs w:val="24"/>
                <w:lang w:eastAsia="en-AU"/>
              </w:rPr>
              <w:t>1.5 Completed by: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18" w:rsidRPr="00081D18" w:rsidRDefault="00081D18" w:rsidP="00081D18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081D18">
              <w:rPr>
                <w:rFonts w:eastAsia="Times New Roman" w:cs="Arial"/>
                <w:color w:val="000000"/>
                <w:szCs w:val="24"/>
                <w:lang w:eastAsia="en-AU"/>
              </w:rPr>
              <w:t>1.6. Email of assessor:</w:t>
            </w:r>
          </w:p>
        </w:tc>
      </w:tr>
    </w:tbl>
    <w:p w:rsidR="00081D18" w:rsidRPr="00081D18" w:rsidRDefault="00081D18" w:rsidP="00B544AB">
      <w:pPr>
        <w:rPr>
          <w:rFonts w:eastAsiaTheme="majorEastAsia" w:cstheme="majorBidi"/>
          <w:bCs/>
          <w:color w:val="005B6C" w:themeColor="accent1"/>
          <w:sz w:val="36"/>
          <w:szCs w:val="36"/>
        </w:rPr>
      </w:pPr>
    </w:p>
    <w:tbl>
      <w:tblPr>
        <w:tblStyle w:val="WAHealthTable5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A339A" w:rsidTr="006A3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:rsidR="006A339A" w:rsidRPr="008B1D82" w:rsidRDefault="00E373D4" w:rsidP="008B1D82">
            <w:pPr>
              <w:rPr>
                <w:szCs w:val="24"/>
              </w:rPr>
            </w:pPr>
            <w:r>
              <w:rPr>
                <w:rFonts w:eastAsia="Times New Roman" w:cs="Arial"/>
                <w:bCs w:val="0"/>
                <w:color w:val="FFFFFF"/>
                <w:szCs w:val="24"/>
                <w:lang w:eastAsia="en-AU"/>
              </w:rPr>
              <w:t>2</w:t>
            </w:r>
            <w:r w:rsidR="008B1D82" w:rsidRPr="008B1D82">
              <w:rPr>
                <w:rFonts w:eastAsia="Times New Roman" w:cs="Arial"/>
                <w:color w:val="FFFFFF"/>
                <w:szCs w:val="24"/>
                <w:lang w:eastAsia="en-AU"/>
              </w:rPr>
              <w:t xml:space="preserve">. </w:t>
            </w:r>
            <w:r w:rsidR="008B1D82">
              <w:rPr>
                <w:rFonts w:eastAsia="Times New Roman" w:cs="Arial"/>
                <w:color w:val="FFFFFF"/>
                <w:szCs w:val="24"/>
                <w:lang w:eastAsia="en-AU"/>
              </w:rPr>
              <w:t xml:space="preserve"> Who </w:t>
            </w:r>
            <w:r w:rsidR="006A339A" w:rsidRPr="008B1D82">
              <w:rPr>
                <w:szCs w:val="24"/>
              </w:rPr>
              <w:t>is the youth health advocate within your organisation responsible for overseeing and evaluating youth friendly health services?</w:t>
            </w:r>
          </w:p>
        </w:tc>
      </w:tr>
      <w:tr w:rsidR="006A339A" w:rsidTr="006A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:rsidR="006A339A" w:rsidRDefault="006A339A" w:rsidP="006A339A"/>
          <w:p w:rsidR="00A47FA0" w:rsidRDefault="00A47FA0" w:rsidP="006A339A"/>
        </w:tc>
      </w:tr>
    </w:tbl>
    <w:p w:rsidR="00A47FA0" w:rsidRDefault="00A47FA0" w:rsidP="008B1D82">
      <w:pPr>
        <w:spacing w:after="0"/>
        <w:rPr>
          <w:rFonts w:eastAsia="Times New Roman" w:cs="Arial"/>
          <w:b/>
          <w:bCs/>
          <w:color w:val="FFFFFF"/>
          <w:szCs w:val="24"/>
          <w:lang w:eastAsia="en-AU"/>
        </w:rPr>
      </w:pPr>
    </w:p>
    <w:p w:rsidR="00A47FA0" w:rsidRDefault="00A47FA0">
      <w:pPr>
        <w:spacing w:after="200" w:line="276" w:lineRule="auto"/>
        <w:rPr>
          <w:rFonts w:eastAsia="Times New Roman" w:cs="Arial"/>
          <w:b/>
          <w:bCs/>
          <w:color w:val="FFFFFF"/>
          <w:szCs w:val="24"/>
          <w:lang w:eastAsia="en-AU"/>
        </w:rPr>
      </w:pPr>
      <w:r>
        <w:rPr>
          <w:rFonts w:eastAsia="Times New Roman" w:cs="Arial"/>
          <w:b/>
          <w:bCs/>
          <w:color w:val="FFFFFF"/>
          <w:szCs w:val="24"/>
          <w:lang w:eastAsia="en-AU"/>
        </w:rPr>
        <w:br w:type="page"/>
      </w:r>
    </w:p>
    <w:tbl>
      <w:tblPr>
        <w:tblStyle w:val="WAHealthTable5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A339A" w:rsidRPr="008B1D82" w:rsidTr="00687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:rsidR="006A339A" w:rsidRPr="008B1D82" w:rsidRDefault="00E373D4" w:rsidP="008B1D82">
            <w:pPr>
              <w:spacing w:after="0"/>
              <w:rPr>
                <w:rFonts w:eastAsia="Times New Roman" w:cs="Arial"/>
                <w:color w:val="FFFFFF"/>
                <w:szCs w:val="24"/>
                <w:lang w:eastAsia="en-AU"/>
              </w:rPr>
            </w:pPr>
            <w:r>
              <w:rPr>
                <w:rFonts w:eastAsia="Times New Roman" w:cs="Arial"/>
                <w:bCs w:val="0"/>
                <w:color w:val="FFFFFF"/>
                <w:szCs w:val="24"/>
                <w:lang w:eastAsia="en-AU"/>
              </w:rPr>
              <w:lastRenderedPageBreak/>
              <w:t>3</w:t>
            </w:r>
            <w:r w:rsidR="008B1D82" w:rsidRPr="008B1D82">
              <w:rPr>
                <w:rFonts w:eastAsia="Times New Roman" w:cs="Arial"/>
                <w:color w:val="FFFFFF"/>
                <w:szCs w:val="24"/>
                <w:lang w:eastAsia="en-AU"/>
              </w:rPr>
              <w:t xml:space="preserve">. </w:t>
            </w:r>
            <w:r w:rsidR="006A339A" w:rsidRPr="008B1D82">
              <w:rPr>
                <w:rFonts w:eastAsia="Times New Roman" w:cs="Arial"/>
                <w:color w:val="FFFFFF"/>
                <w:szCs w:val="24"/>
                <w:lang w:eastAsia="en-AU"/>
              </w:rPr>
              <w:t>What are the priorities and key strategies of your organisation to optimise youth health and wellbeing over the next 12 months?</w:t>
            </w:r>
          </w:p>
        </w:tc>
      </w:tr>
      <w:tr w:rsidR="006A339A" w:rsidTr="0068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:rsidR="006A339A" w:rsidRDefault="006A339A" w:rsidP="006870C1"/>
        </w:tc>
      </w:tr>
      <w:tr w:rsidR="006A339A" w:rsidTr="0068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:rsidR="006A339A" w:rsidRDefault="006A339A" w:rsidP="006870C1"/>
        </w:tc>
      </w:tr>
      <w:tr w:rsidR="006A339A" w:rsidTr="0068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:rsidR="006A339A" w:rsidRDefault="006A339A" w:rsidP="006870C1"/>
        </w:tc>
      </w:tr>
      <w:tr w:rsidR="006A339A" w:rsidTr="0068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:rsidR="006A339A" w:rsidRDefault="006A339A" w:rsidP="006870C1"/>
        </w:tc>
      </w:tr>
      <w:tr w:rsidR="006A339A" w:rsidTr="006A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:rsidR="006A339A" w:rsidRDefault="006A339A" w:rsidP="006870C1"/>
        </w:tc>
      </w:tr>
      <w:tr w:rsidR="006A339A" w:rsidTr="006A3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:rsidR="006A339A" w:rsidRDefault="006A339A" w:rsidP="006870C1"/>
        </w:tc>
      </w:tr>
    </w:tbl>
    <w:p w:rsidR="006A339A" w:rsidRDefault="006A339A" w:rsidP="006A339A"/>
    <w:tbl>
      <w:tblPr>
        <w:tblW w:w="10669" w:type="dxa"/>
        <w:tblInd w:w="93" w:type="dxa"/>
        <w:tblLook w:val="04A0" w:firstRow="1" w:lastRow="0" w:firstColumn="1" w:lastColumn="0" w:noHBand="0" w:noVBand="1"/>
      </w:tblPr>
      <w:tblGrid>
        <w:gridCol w:w="8704"/>
        <w:gridCol w:w="695"/>
        <w:gridCol w:w="683"/>
        <w:gridCol w:w="587"/>
      </w:tblGrid>
      <w:tr w:rsidR="006A339A" w:rsidRPr="004A02C7" w:rsidTr="00F712B5">
        <w:trPr>
          <w:trHeight w:val="315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5B6C"/>
            <w:noWrap/>
            <w:vAlign w:val="bottom"/>
            <w:hideMark/>
          </w:tcPr>
          <w:p w:rsidR="006A339A" w:rsidRPr="004A02C7" w:rsidRDefault="00E373D4" w:rsidP="006870C1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4</w:t>
            </w:r>
            <w:r w:rsidR="006A339A"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. Youth Participation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6C"/>
            <w:noWrap/>
            <w:vAlign w:val="bottom"/>
            <w:hideMark/>
          </w:tcPr>
          <w:p w:rsidR="006A339A" w:rsidRPr="004A02C7" w:rsidRDefault="006A339A" w:rsidP="006870C1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Yes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6C"/>
            <w:noWrap/>
            <w:vAlign w:val="bottom"/>
            <w:hideMark/>
          </w:tcPr>
          <w:p w:rsidR="006A339A" w:rsidRPr="004A02C7" w:rsidRDefault="006A339A" w:rsidP="006870C1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Part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6C"/>
            <w:noWrap/>
            <w:vAlign w:val="bottom"/>
            <w:hideMark/>
          </w:tcPr>
          <w:p w:rsidR="006A339A" w:rsidRPr="004A02C7" w:rsidRDefault="006A339A" w:rsidP="006870C1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No</w:t>
            </w:r>
          </w:p>
        </w:tc>
      </w:tr>
      <w:tr w:rsidR="006A339A" w:rsidRPr="004A02C7" w:rsidTr="00050D91">
        <w:trPr>
          <w:trHeight w:val="600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39A" w:rsidRPr="004A02C7" w:rsidRDefault="00E373D4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4</w:t>
            </w:r>
            <w:r w:rsidR="00350004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.1 </w:t>
            </w:r>
            <w:r w:rsidR="006A339A"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Does your organisation have a youth advisory committee or young people represented within a consumer advisory group?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9A" w:rsidRPr="004A02C7" w:rsidRDefault="006A339A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9A" w:rsidRPr="004A02C7" w:rsidRDefault="006A339A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9A" w:rsidRPr="004A02C7" w:rsidRDefault="006A339A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1303C8" w:rsidRPr="004A02C7" w:rsidTr="00182451">
        <w:trPr>
          <w:trHeight w:val="600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3C8" w:rsidRPr="004A02C7" w:rsidRDefault="00E373D4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4</w:t>
            </w:r>
            <w:r w:rsidR="001303C8">
              <w:rPr>
                <w:rFonts w:eastAsia="Times New Roman" w:cs="Arial"/>
                <w:color w:val="000000"/>
                <w:szCs w:val="24"/>
                <w:lang w:eastAsia="en-AU"/>
              </w:rPr>
              <w:t>.2 In your organisation, which aspects of services, policies or programs</w:t>
            </w:r>
            <w:r w:rsidR="001D5F64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are young people involved with</w:t>
            </w:r>
            <w:r w:rsidR="005C069B">
              <w:rPr>
                <w:rFonts w:eastAsia="Times New Roman" w:cs="Arial"/>
                <w:color w:val="000000"/>
                <w:szCs w:val="24"/>
                <w:lang w:eastAsia="en-AU"/>
              </w:rPr>
              <w:t>:</w:t>
            </w:r>
          </w:p>
        </w:tc>
      </w:tr>
      <w:tr w:rsidR="008B1D82" w:rsidRPr="004A02C7" w:rsidTr="00350004">
        <w:trPr>
          <w:trHeight w:val="387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D82" w:rsidRPr="004A02C7" w:rsidRDefault="00E373D4" w:rsidP="008B1D82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4</w:t>
            </w:r>
            <w:r w:rsidR="0036185B">
              <w:rPr>
                <w:rFonts w:eastAsia="Times New Roman" w:cs="Arial"/>
                <w:color w:val="000000"/>
                <w:szCs w:val="24"/>
                <w:lang w:eastAsia="en-AU"/>
              </w:rPr>
              <w:t>.2</w:t>
            </w:r>
            <w:r w:rsidR="000841F6">
              <w:rPr>
                <w:rFonts w:eastAsia="Times New Roman" w:cs="Arial"/>
                <w:color w:val="000000"/>
                <w:szCs w:val="24"/>
                <w:lang w:eastAsia="en-AU"/>
              </w:rPr>
              <w:t>.1</w:t>
            </w:r>
            <w:r w:rsidR="0036185B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</w:t>
            </w:r>
            <w:r w:rsidR="001D5F64">
              <w:rPr>
                <w:rFonts w:eastAsia="Times New Roman" w:cs="Arial"/>
                <w:color w:val="000000"/>
                <w:szCs w:val="24"/>
                <w:lang w:eastAsia="en-AU"/>
              </w:rPr>
              <w:t>d</w:t>
            </w:r>
            <w:r w:rsidR="00350004">
              <w:rPr>
                <w:rFonts w:eastAsia="Times New Roman" w:cs="Arial"/>
                <w:color w:val="000000"/>
                <w:szCs w:val="24"/>
                <w:lang w:eastAsia="en-AU"/>
              </w:rPr>
              <w:t>esign</w:t>
            </w:r>
            <w:r w:rsidR="001D5F64">
              <w:rPr>
                <w:rFonts w:eastAsia="Times New Roman" w:cs="Arial"/>
                <w:color w:val="000000"/>
                <w:szCs w:val="24"/>
                <w:lang w:eastAsia="en-AU"/>
              </w:rPr>
              <w:t>?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2" w:rsidRPr="004A02C7" w:rsidRDefault="008B1D82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2" w:rsidRPr="004A02C7" w:rsidRDefault="008B1D82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2" w:rsidRPr="004A02C7" w:rsidRDefault="008B1D82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</w:tr>
      <w:tr w:rsidR="006A339A" w:rsidRPr="004A02C7" w:rsidTr="00350004">
        <w:trPr>
          <w:trHeight w:val="407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39A" w:rsidRPr="004A02C7" w:rsidRDefault="00E373D4" w:rsidP="008B1D82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4</w:t>
            </w:r>
            <w:r w:rsidR="000841F6">
              <w:rPr>
                <w:rFonts w:eastAsia="Times New Roman" w:cs="Arial"/>
                <w:color w:val="000000"/>
                <w:szCs w:val="24"/>
                <w:lang w:eastAsia="en-AU"/>
              </w:rPr>
              <w:t>.2.2</w:t>
            </w:r>
            <w:r w:rsidR="0036185B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</w:t>
            </w:r>
            <w:r w:rsidR="001D5F64">
              <w:rPr>
                <w:rFonts w:eastAsia="Times New Roman" w:cs="Arial"/>
                <w:color w:val="000000"/>
                <w:szCs w:val="24"/>
                <w:lang w:eastAsia="en-AU"/>
              </w:rPr>
              <w:t>d</w:t>
            </w:r>
            <w:r w:rsidR="00350004">
              <w:rPr>
                <w:rFonts w:eastAsia="Times New Roman" w:cs="Arial"/>
                <w:color w:val="000000"/>
                <w:szCs w:val="24"/>
                <w:lang w:eastAsia="en-AU"/>
              </w:rPr>
              <w:t>elivery</w:t>
            </w:r>
            <w:r w:rsidR="001D5F64">
              <w:rPr>
                <w:rFonts w:eastAsia="Times New Roman" w:cs="Arial"/>
                <w:color w:val="000000"/>
                <w:szCs w:val="24"/>
                <w:lang w:eastAsia="en-AU"/>
              </w:rPr>
              <w:t>?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9A" w:rsidRPr="004A02C7" w:rsidRDefault="006A339A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9A" w:rsidRPr="004A02C7" w:rsidRDefault="006A339A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9A" w:rsidRPr="004A02C7" w:rsidRDefault="006A339A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350004" w:rsidRPr="004A02C7" w:rsidTr="00350004">
        <w:trPr>
          <w:trHeight w:val="399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004" w:rsidRPr="004A02C7" w:rsidRDefault="00E373D4" w:rsidP="008B1D82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4</w:t>
            </w:r>
            <w:r w:rsidR="000841F6">
              <w:rPr>
                <w:rFonts w:eastAsia="Times New Roman" w:cs="Arial"/>
                <w:color w:val="000000"/>
                <w:szCs w:val="24"/>
                <w:lang w:eastAsia="en-AU"/>
              </w:rPr>
              <w:t>.2.3</w:t>
            </w:r>
            <w:r w:rsidR="0036185B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</w:t>
            </w:r>
            <w:r w:rsidR="001D5F64">
              <w:rPr>
                <w:rFonts w:eastAsia="Times New Roman" w:cs="Arial"/>
                <w:color w:val="000000"/>
                <w:szCs w:val="24"/>
                <w:lang w:eastAsia="en-AU"/>
              </w:rPr>
              <w:t>review?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04" w:rsidRPr="004A02C7" w:rsidRDefault="00350004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04" w:rsidRPr="004A02C7" w:rsidRDefault="00350004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004" w:rsidRPr="004A02C7" w:rsidRDefault="00350004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</w:tr>
      <w:tr w:rsidR="008B1D82" w:rsidRPr="004A02C7" w:rsidTr="00050D91">
        <w:trPr>
          <w:trHeight w:val="600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D82" w:rsidRPr="004A02C7" w:rsidRDefault="00E373D4" w:rsidP="008B1D82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4</w:t>
            </w:r>
            <w:r w:rsidR="000841F6">
              <w:rPr>
                <w:rFonts w:eastAsia="Times New Roman" w:cs="Arial"/>
                <w:color w:val="000000"/>
                <w:szCs w:val="24"/>
                <w:lang w:eastAsia="en-AU"/>
              </w:rPr>
              <w:t>.3</w:t>
            </w:r>
            <w:r w:rsidR="0036185B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</w:t>
            </w:r>
            <w:r w:rsidR="008B1D82"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As part of your evaluation processes, does your organisation </w:t>
            </w:r>
            <w:r w:rsidR="008B1D82">
              <w:rPr>
                <w:rFonts w:eastAsia="Times New Roman" w:cs="Arial"/>
                <w:color w:val="000000"/>
                <w:szCs w:val="24"/>
                <w:lang w:eastAsia="en-AU"/>
              </w:rPr>
              <w:t>seek feedback from young people</w:t>
            </w:r>
            <w:r w:rsidR="008B1D82"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?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2" w:rsidRPr="004A02C7" w:rsidRDefault="008B1D82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2" w:rsidRPr="004A02C7" w:rsidRDefault="008B1D82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2" w:rsidRPr="004A02C7" w:rsidRDefault="008B1D82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</w:tr>
      <w:tr w:rsidR="006A339A" w:rsidRPr="004A02C7" w:rsidTr="00050D91">
        <w:trPr>
          <w:trHeight w:val="600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39A" w:rsidRPr="004A02C7" w:rsidRDefault="00E373D4" w:rsidP="008B1D82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4</w:t>
            </w:r>
            <w:r w:rsidR="000841F6">
              <w:rPr>
                <w:rFonts w:eastAsia="Times New Roman" w:cs="Arial"/>
                <w:color w:val="000000"/>
                <w:szCs w:val="24"/>
                <w:lang w:eastAsia="en-AU"/>
              </w:rPr>
              <w:t>.4</w:t>
            </w:r>
            <w:r w:rsidR="0036185B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</w:t>
            </w:r>
            <w:r w:rsidR="008B1D82"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As part of </w:t>
            </w:r>
            <w:r w:rsidR="008B1D82" w:rsidRPr="000841F6">
              <w:rPr>
                <w:rFonts w:eastAsia="Times New Roman" w:cs="Arial"/>
                <w:color w:val="000000"/>
                <w:szCs w:val="24"/>
                <w:lang w:eastAsia="en-AU"/>
              </w:rPr>
              <w:t>your evaluation processes, does your organisation seek feedback from parents and carers of young people?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9A" w:rsidRPr="004A02C7" w:rsidRDefault="006A339A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9A" w:rsidRPr="004A02C7" w:rsidRDefault="006A339A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9A" w:rsidRPr="004A02C7" w:rsidRDefault="006A339A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F712B5" w:rsidRPr="004A02C7" w:rsidTr="00F712B5">
        <w:trPr>
          <w:trHeight w:val="814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B5" w:rsidRPr="004A02C7" w:rsidRDefault="00F712B5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Please describe:</w:t>
            </w:r>
          </w:p>
          <w:p w:rsidR="00F712B5" w:rsidRPr="004A02C7" w:rsidRDefault="00F712B5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  <w:p w:rsidR="00F712B5" w:rsidRPr="004A02C7" w:rsidRDefault="00F712B5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F712B5" w:rsidRPr="004A02C7" w:rsidTr="00F712B5">
        <w:trPr>
          <w:trHeight w:val="685"/>
        </w:trPr>
        <w:tc>
          <w:tcPr>
            <w:tcW w:w="10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B5" w:rsidRDefault="00F712B5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Priorities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for your organisation</w:t>
            </w: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:</w:t>
            </w:r>
          </w:p>
          <w:p w:rsidR="00F712B5" w:rsidRPr="004A02C7" w:rsidRDefault="00F712B5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  <w:p w:rsidR="00F712B5" w:rsidRPr="004A02C7" w:rsidRDefault="00F712B5" w:rsidP="006870C1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0841F6" w:rsidRPr="004A02C7" w:rsidTr="006B5353">
        <w:trPr>
          <w:trHeight w:val="315"/>
        </w:trPr>
        <w:tc>
          <w:tcPr>
            <w:tcW w:w="8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5B6C"/>
            <w:noWrap/>
            <w:vAlign w:val="bottom"/>
            <w:hideMark/>
          </w:tcPr>
          <w:p w:rsidR="000841F6" w:rsidRPr="004A02C7" w:rsidRDefault="00E373D4" w:rsidP="006B5353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5</w:t>
            </w:r>
            <w:r w:rsidR="000841F6"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. Professional Development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6C"/>
            <w:noWrap/>
            <w:vAlign w:val="bottom"/>
            <w:hideMark/>
          </w:tcPr>
          <w:p w:rsidR="000841F6" w:rsidRPr="004A02C7" w:rsidRDefault="000841F6" w:rsidP="006B5353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Yes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6C"/>
            <w:noWrap/>
            <w:vAlign w:val="bottom"/>
            <w:hideMark/>
          </w:tcPr>
          <w:p w:rsidR="000841F6" w:rsidRPr="004A02C7" w:rsidRDefault="000841F6" w:rsidP="006B5353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Part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6C"/>
            <w:noWrap/>
            <w:vAlign w:val="bottom"/>
            <w:hideMark/>
          </w:tcPr>
          <w:p w:rsidR="000841F6" w:rsidRPr="004A02C7" w:rsidRDefault="000841F6" w:rsidP="006B5353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No</w:t>
            </w:r>
          </w:p>
        </w:tc>
      </w:tr>
      <w:tr w:rsidR="001303C8" w:rsidRPr="004A02C7" w:rsidTr="002374F5">
        <w:trPr>
          <w:trHeight w:val="600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3C8" w:rsidRPr="004A02C7" w:rsidRDefault="00E373D4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5</w:t>
            </w:r>
            <w:r w:rsidR="001303C8">
              <w:rPr>
                <w:rFonts w:eastAsia="Times New Roman" w:cs="Arial"/>
                <w:color w:val="000000"/>
                <w:szCs w:val="24"/>
                <w:lang w:eastAsia="en-AU"/>
              </w:rPr>
              <w:t>.1 In regard to working with young people aged 10-24, do health pro</w:t>
            </w:r>
            <w:r w:rsidR="005C069B">
              <w:rPr>
                <w:rFonts w:eastAsia="Times New Roman" w:cs="Arial"/>
                <w:color w:val="000000"/>
                <w:szCs w:val="24"/>
                <w:lang w:eastAsia="en-AU"/>
              </w:rPr>
              <w:t>fessionals in your organisation:</w:t>
            </w:r>
          </w:p>
        </w:tc>
      </w:tr>
      <w:tr w:rsidR="000841F6" w:rsidRPr="004A02C7" w:rsidTr="006B5353">
        <w:trPr>
          <w:trHeight w:val="431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1F6" w:rsidRPr="004A02C7" w:rsidRDefault="00E373D4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5</w:t>
            </w:r>
            <w:r w:rsidR="001D5F64">
              <w:rPr>
                <w:rFonts w:eastAsia="Times New Roman" w:cs="Arial"/>
                <w:color w:val="000000"/>
                <w:szCs w:val="24"/>
                <w:lang w:eastAsia="en-AU"/>
              </w:rPr>
              <w:t>.1.1 r</w:t>
            </w:r>
            <w:r w:rsidR="000841F6">
              <w:rPr>
                <w:rFonts w:eastAsia="Times New Roman" w:cs="Arial"/>
                <w:color w:val="000000"/>
                <w:szCs w:val="24"/>
                <w:lang w:eastAsia="en-AU"/>
              </w:rPr>
              <w:t>eceive training</w:t>
            </w:r>
            <w:r w:rsidR="001D5F64">
              <w:rPr>
                <w:rFonts w:eastAsia="Times New Roman" w:cs="Arial"/>
                <w:color w:val="000000"/>
                <w:szCs w:val="24"/>
                <w:lang w:eastAsia="en-AU"/>
              </w:rPr>
              <w:t>?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F6" w:rsidRPr="004A02C7" w:rsidRDefault="000841F6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F6" w:rsidRPr="004A02C7" w:rsidRDefault="000841F6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F6" w:rsidRPr="004A02C7" w:rsidRDefault="000841F6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0841F6" w:rsidRPr="004A02C7" w:rsidTr="006B5353">
        <w:trPr>
          <w:trHeight w:val="410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1F6" w:rsidRDefault="00E373D4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5</w:t>
            </w:r>
            <w:r w:rsidR="005C069B">
              <w:rPr>
                <w:rFonts w:eastAsia="Times New Roman" w:cs="Arial"/>
                <w:color w:val="000000"/>
                <w:szCs w:val="24"/>
                <w:lang w:eastAsia="en-AU"/>
              </w:rPr>
              <w:t>.1.2 r</w:t>
            </w:r>
            <w:r w:rsidR="000841F6">
              <w:rPr>
                <w:rFonts w:eastAsia="Times New Roman" w:cs="Arial"/>
                <w:color w:val="000000"/>
                <w:szCs w:val="24"/>
                <w:lang w:eastAsia="en-AU"/>
              </w:rPr>
              <w:t>eceive supervision</w:t>
            </w:r>
            <w:r w:rsidR="001D5F64">
              <w:rPr>
                <w:rFonts w:eastAsia="Times New Roman" w:cs="Arial"/>
                <w:color w:val="000000"/>
                <w:szCs w:val="24"/>
                <w:lang w:eastAsia="en-AU"/>
              </w:rPr>
              <w:t>?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F6" w:rsidRPr="004A02C7" w:rsidRDefault="000841F6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F6" w:rsidRPr="004A02C7" w:rsidRDefault="000841F6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F6" w:rsidRPr="004A02C7" w:rsidRDefault="000841F6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</w:tr>
      <w:tr w:rsidR="000841F6" w:rsidRPr="004A02C7" w:rsidTr="006B5353">
        <w:trPr>
          <w:trHeight w:val="415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1F6" w:rsidRPr="004A02C7" w:rsidRDefault="00E373D4" w:rsidP="001D5F64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5</w:t>
            </w:r>
            <w:r w:rsidR="000841F6">
              <w:rPr>
                <w:rFonts w:eastAsia="Times New Roman" w:cs="Arial"/>
                <w:color w:val="000000"/>
                <w:szCs w:val="24"/>
                <w:lang w:eastAsia="en-AU"/>
              </w:rPr>
              <w:t>.</w:t>
            </w:r>
            <w:r w:rsidR="001D5F64">
              <w:rPr>
                <w:rFonts w:eastAsia="Times New Roman" w:cs="Arial"/>
                <w:color w:val="000000"/>
                <w:szCs w:val="24"/>
                <w:lang w:eastAsia="en-AU"/>
              </w:rPr>
              <w:t>1.3</w:t>
            </w:r>
            <w:r w:rsidR="005C069B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h</w:t>
            </w:r>
            <w:r w:rsidR="000841F6">
              <w:rPr>
                <w:rFonts w:eastAsia="Times New Roman" w:cs="Arial"/>
                <w:color w:val="000000"/>
                <w:szCs w:val="24"/>
                <w:lang w:eastAsia="en-AU"/>
              </w:rPr>
              <w:t>ave access to tools or guidance to assist them engage effectively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F6" w:rsidRPr="004A02C7" w:rsidRDefault="000841F6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F6" w:rsidRPr="004A02C7" w:rsidRDefault="000841F6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F6" w:rsidRPr="004A02C7" w:rsidRDefault="000841F6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0841F6" w:rsidRPr="004A02C7" w:rsidTr="00F712B5">
        <w:trPr>
          <w:trHeight w:val="415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1F6" w:rsidRDefault="00E373D4" w:rsidP="00037C5C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5</w:t>
            </w:r>
            <w:r w:rsidR="000841F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.3 </w:t>
            </w:r>
            <w:r w:rsidR="000841F6"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Are support staff provided with tools and practical guidance to engage effectively with young people</w:t>
            </w:r>
            <w:r w:rsidR="005C069B">
              <w:rPr>
                <w:rFonts w:eastAsia="Times New Roman" w:cs="Arial"/>
                <w:color w:val="000000"/>
                <w:szCs w:val="24"/>
                <w:lang w:eastAsia="en-AU"/>
              </w:rPr>
              <w:t>?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F6" w:rsidRPr="004A02C7" w:rsidRDefault="000841F6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F6" w:rsidRPr="004A02C7" w:rsidRDefault="000841F6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F6" w:rsidRPr="004A02C7" w:rsidRDefault="000841F6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</w:tr>
      <w:tr w:rsidR="00F712B5" w:rsidRPr="004A02C7" w:rsidTr="00F712B5">
        <w:trPr>
          <w:trHeight w:val="570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B5" w:rsidRPr="004A02C7" w:rsidRDefault="00F712B5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Please describe: </w:t>
            </w:r>
          </w:p>
          <w:p w:rsidR="00F712B5" w:rsidRPr="004A02C7" w:rsidRDefault="00F712B5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  <w:p w:rsidR="00F712B5" w:rsidRPr="004A02C7" w:rsidRDefault="00F712B5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F712B5" w:rsidRPr="004A02C7" w:rsidTr="00F712B5">
        <w:trPr>
          <w:trHeight w:val="570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B5" w:rsidRPr="004A02C7" w:rsidRDefault="00F712B5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Priorities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for your organisation</w:t>
            </w: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: </w:t>
            </w:r>
          </w:p>
          <w:p w:rsidR="00F712B5" w:rsidRDefault="00F712B5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  <w:p w:rsidR="00F712B5" w:rsidRDefault="00F712B5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  <w:p w:rsidR="00F712B5" w:rsidRPr="004A02C7" w:rsidRDefault="00F712B5" w:rsidP="006B5353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136B77" w:rsidRPr="004A02C7" w:rsidTr="00F712B5">
        <w:trPr>
          <w:trHeight w:val="315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5B6C"/>
            <w:noWrap/>
            <w:vAlign w:val="bottom"/>
            <w:hideMark/>
          </w:tcPr>
          <w:p w:rsidR="00136B77" w:rsidRPr="004A02C7" w:rsidRDefault="00E373D4" w:rsidP="006A5662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lastRenderedPageBreak/>
              <w:t>6</w:t>
            </w:r>
            <w:r w:rsidR="00136B77"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. Collaboration and partnerships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6C"/>
            <w:noWrap/>
            <w:vAlign w:val="bottom"/>
            <w:hideMark/>
          </w:tcPr>
          <w:p w:rsidR="00136B77" w:rsidRPr="004A02C7" w:rsidRDefault="00136B77" w:rsidP="006A5662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Yes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6C"/>
            <w:noWrap/>
            <w:vAlign w:val="bottom"/>
            <w:hideMark/>
          </w:tcPr>
          <w:p w:rsidR="00136B77" w:rsidRPr="004A02C7" w:rsidRDefault="00136B77" w:rsidP="006A5662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Part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6C"/>
            <w:noWrap/>
            <w:vAlign w:val="bottom"/>
            <w:hideMark/>
          </w:tcPr>
          <w:p w:rsidR="00136B77" w:rsidRPr="004A02C7" w:rsidRDefault="00136B77" w:rsidP="006A5662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No</w:t>
            </w:r>
          </w:p>
        </w:tc>
      </w:tr>
      <w:tr w:rsidR="00136B77" w:rsidRPr="004A02C7" w:rsidTr="00F712B5">
        <w:trPr>
          <w:trHeight w:val="600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B77" w:rsidRPr="004A02C7" w:rsidRDefault="00E373D4" w:rsidP="006A5662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6</w:t>
            </w:r>
            <w:r w:rsidR="000841F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.1 </w:t>
            </w:r>
            <w:r w:rsidR="00136B77"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Does your service work collaboratively with others to help young people navigate the health system?</w:t>
            </w:r>
            <w:r w:rsidR="007C3EDB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(for example: providing lists of community psychologists who work with young people)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77" w:rsidRPr="004A02C7" w:rsidRDefault="00136B77" w:rsidP="006A5662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77" w:rsidRPr="004A02C7" w:rsidRDefault="00136B77" w:rsidP="006A5662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77" w:rsidRPr="004A02C7" w:rsidRDefault="00136B77" w:rsidP="006A5662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F712B5" w:rsidRPr="004A02C7" w:rsidTr="00F754AC">
        <w:trPr>
          <w:trHeight w:val="570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B5" w:rsidRDefault="00F712B5" w:rsidP="006A5662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Please describe:</w:t>
            </w:r>
          </w:p>
          <w:p w:rsidR="00F712B5" w:rsidRPr="004A02C7" w:rsidRDefault="00F712B5" w:rsidP="006A5662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  <w:p w:rsidR="00F712B5" w:rsidRPr="004A02C7" w:rsidRDefault="00F712B5" w:rsidP="00F712B5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 </w:t>
            </w:r>
          </w:p>
        </w:tc>
      </w:tr>
      <w:tr w:rsidR="00F712B5" w:rsidRPr="004A02C7" w:rsidTr="006620E8">
        <w:trPr>
          <w:trHeight w:val="570"/>
        </w:trPr>
        <w:tc>
          <w:tcPr>
            <w:tcW w:w="10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B5" w:rsidRDefault="00F712B5" w:rsidP="006A5662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Priorities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for your organisation</w:t>
            </w: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:</w:t>
            </w:r>
          </w:p>
          <w:p w:rsidR="00F712B5" w:rsidRPr="004A02C7" w:rsidRDefault="00F712B5" w:rsidP="006A5662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  <w:p w:rsidR="00F712B5" w:rsidRPr="004A02C7" w:rsidRDefault="00F712B5" w:rsidP="006A5662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136F06" w:rsidRPr="004A02C7" w:rsidTr="001C36BA">
        <w:trPr>
          <w:trHeight w:val="315"/>
        </w:trPr>
        <w:tc>
          <w:tcPr>
            <w:tcW w:w="8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5B6C"/>
            <w:noWrap/>
            <w:vAlign w:val="bottom"/>
            <w:hideMark/>
          </w:tcPr>
          <w:p w:rsidR="00136F06" w:rsidRPr="004A02C7" w:rsidRDefault="00E373D4" w:rsidP="001C36BA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7</w:t>
            </w:r>
            <w:r w:rsidR="00136F06"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 xml:space="preserve">. Transition from paediatric to adult health services </w:t>
            </w:r>
            <w:r w:rsidR="00136F06" w:rsidRPr="004A02C7">
              <w:rPr>
                <w:rFonts w:eastAsia="Times New Roman" w:cs="Arial"/>
                <w:color w:val="FFFFFF"/>
                <w:szCs w:val="24"/>
                <w:lang w:eastAsia="en-AU"/>
              </w:rPr>
              <w:t>(service dependent)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6C"/>
            <w:noWrap/>
            <w:vAlign w:val="bottom"/>
            <w:hideMark/>
          </w:tcPr>
          <w:p w:rsidR="00136F06" w:rsidRPr="004A02C7" w:rsidRDefault="00136F06" w:rsidP="001C36BA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Yes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6C"/>
            <w:noWrap/>
            <w:vAlign w:val="bottom"/>
            <w:hideMark/>
          </w:tcPr>
          <w:p w:rsidR="00136F06" w:rsidRPr="004A02C7" w:rsidRDefault="00136F06" w:rsidP="001C36BA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Part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6C"/>
            <w:noWrap/>
            <w:vAlign w:val="bottom"/>
            <w:hideMark/>
          </w:tcPr>
          <w:p w:rsidR="00136F06" w:rsidRPr="004A02C7" w:rsidRDefault="00136F06" w:rsidP="001C36BA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No</w:t>
            </w:r>
          </w:p>
        </w:tc>
      </w:tr>
      <w:tr w:rsidR="00136F06" w:rsidRPr="004A02C7" w:rsidTr="001C36BA">
        <w:trPr>
          <w:trHeight w:val="300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F06" w:rsidRPr="004A02C7" w:rsidRDefault="00E373D4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7</w:t>
            </w:r>
            <w:r w:rsidR="00136F0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.1 </w:t>
            </w:r>
            <w:r w:rsidR="00136F06"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Do</w:t>
            </w:r>
            <w:r w:rsidR="00136F0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es </w:t>
            </w:r>
            <w:r w:rsidR="00136F06"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your service have a transition coordinator?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06" w:rsidRPr="004A02C7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06" w:rsidRPr="004A02C7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06" w:rsidRPr="004A02C7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136F06" w:rsidRPr="004A02C7" w:rsidTr="001C36BA">
        <w:trPr>
          <w:trHeight w:val="300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F06" w:rsidRPr="004A02C7" w:rsidRDefault="00E373D4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7</w:t>
            </w:r>
            <w:r w:rsidR="00136F0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.2 </w:t>
            </w:r>
            <w:r w:rsidR="00136F06"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Does your </w:t>
            </w:r>
            <w:r w:rsidR="00136F06" w:rsidRPr="00136B77">
              <w:rPr>
                <w:rFonts w:eastAsia="Times New Roman" w:cs="Arial"/>
                <w:szCs w:val="24"/>
                <w:lang w:eastAsia="en-AU"/>
              </w:rPr>
              <w:t xml:space="preserve">service use individual </w:t>
            </w:r>
            <w:r w:rsidR="00136F06"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transition plans?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06" w:rsidRPr="004A02C7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06" w:rsidRPr="004A02C7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06" w:rsidRPr="004A02C7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F712B5" w:rsidRPr="004A02C7" w:rsidTr="00DE0F98">
        <w:trPr>
          <w:trHeight w:val="570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B5" w:rsidRPr="004A02C7" w:rsidRDefault="00F712B5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Please describe:</w:t>
            </w:r>
          </w:p>
          <w:p w:rsidR="00F712B5" w:rsidRPr="004A02C7" w:rsidRDefault="00F712B5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  <w:p w:rsidR="00F712B5" w:rsidRPr="004A02C7" w:rsidRDefault="00F712B5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F712B5" w:rsidRPr="004A02C7" w:rsidTr="00457168">
        <w:trPr>
          <w:trHeight w:val="570"/>
        </w:trPr>
        <w:tc>
          <w:tcPr>
            <w:tcW w:w="10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B5" w:rsidRDefault="00F712B5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Priorities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for your organisation</w:t>
            </w: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:</w:t>
            </w:r>
          </w:p>
          <w:p w:rsidR="00F712B5" w:rsidRPr="004A02C7" w:rsidRDefault="00F712B5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  <w:p w:rsidR="00F712B5" w:rsidRPr="004A02C7" w:rsidRDefault="00F712B5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136F06" w:rsidRPr="004A02C7" w:rsidTr="001C36BA">
        <w:trPr>
          <w:trHeight w:val="315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6C"/>
            <w:noWrap/>
            <w:vAlign w:val="bottom"/>
            <w:hideMark/>
          </w:tcPr>
          <w:p w:rsidR="00136F06" w:rsidRPr="004A02C7" w:rsidRDefault="00E373D4" w:rsidP="001C36BA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>8</w:t>
            </w:r>
            <w:r w:rsidR="00136F06" w:rsidRPr="004A02C7"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  <w:t xml:space="preserve">. Accessibility 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6C"/>
            <w:noWrap/>
            <w:vAlign w:val="bottom"/>
          </w:tcPr>
          <w:p w:rsidR="00136F06" w:rsidRPr="004A02C7" w:rsidRDefault="00136F06" w:rsidP="001C36BA">
            <w:pPr>
              <w:spacing w:after="0"/>
              <w:rPr>
                <w:rFonts w:eastAsia="Times New Roman" w:cs="Arial"/>
                <w:b/>
                <w:bCs/>
                <w:color w:val="FFFFFF"/>
                <w:szCs w:val="24"/>
                <w:lang w:eastAsia="en-AU"/>
              </w:rPr>
            </w:pPr>
          </w:p>
        </w:tc>
      </w:tr>
      <w:tr w:rsidR="00136F06" w:rsidRPr="004A02C7" w:rsidTr="001C36BA">
        <w:trPr>
          <w:trHeight w:val="300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06" w:rsidRPr="004A02C7" w:rsidRDefault="00E373D4" w:rsidP="008E0A5E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8</w:t>
            </w:r>
            <w:r w:rsidR="00136F0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.1 </w:t>
            </w:r>
            <w:r w:rsidR="008E0A5E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The Child and Youth Health Network have developed an </w:t>
            </w:r>
            <w:r w:rsidR="008E0A5E" w:rsidRPr="00696A25">
              <w:rPr>
                <w:rFonts w:eastAsia="Times New Roman" w:cs="Arial"/>
                <w:color w:val="000000"/>
                <w:szCs w:val="24"/>
                <w:lang w:eastAsia="en-AU"/>
              </w:rPr>
              <w:t>audit tool</w:t>
            </w:r>
            <w:r w:rsidR="00136F0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that can be used to assess how </w:t>
            </w:r>
            <w:r w:rsidR="008E0A5E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youth friendly </w:t>
            </w:r>
            <w:r w:rsidR="00136F0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your service is.  This section of the checklist refers to this </w:t>
            </w:r>
            <w:hyperlink r:id="rId13" w:history="1">
              <w:r w:rsidR="00696A25" w:rsidRPr="00696A25">
                <w:rPr>
                  <w:rStyle w:val="Hyperlink"/>
                  <w:rFonts w:eastAsia="Times New Roman" w:cs="Arial"/>
                  <w:szCs w:val="24"/>
                  <w:lang w:eastAsia="en-AU"/>
                </w:rPr>
                <w:t>audit tool</w:t>
              </w:r>
            </w:hyperlink>
            <w:r w:rsidR="00696A25" w:rsidRPr="00696A25">
              <w:rPr>
                <w:rFonts w:eastAsia="Times New Roman" w:cs="Arial"/>
                <w:color w:val="000000"/>
                <w:szCs w:val="24"/>
                <w:lang w:eastAsia="en-AU"/>
              </w:rPr>
              <w:t>.</w:t>
            </w:r>
          </w:p>
        </w:tc>
        <w:bookmarkStart w:id="0" w:name="_GoBack"/>
        <w:bookmarkEnd w:id="0"/>
      </w:tr>
      <w:tr w:rsidR="00136F06" w:rsidRPr="004A02C7" w:rsidTr="001C36BA">
        <w:trPr>
          <w:trHeight w:val="588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6F06" w:rsidRDefault="00E373D4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8</w:t>
            </w:r>
            <w:r w:rsidR="00136F06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.1.1 How </w:t>
            </w:r>
            <w:r w:rsidR="00136F06" w:rsidRPr="001D5F64">
              <w:rPr>
                <w:rFonts w:eastAsia="Times New Roman" w:cs="Arial"/>
                <w:szCs w:val="24"/>
                <w:lang w:eastAsia="en-AU"/>
              </w:rPr>
              <w:t xml:space="preserve">many service areas have been </w:t>
            </w:r>
            <w:r w:rsidR="00136F06">
              <w:rPr>
                <w:rFonts w:eastAsia="Times New Roman" w:cs="Arial"/>
                <w:color w:val="000000"/>
                <w:szCs w:val="24"/>
                <w:lang w:eastAsia="en-AU"/>
              </w:rPr>
              <w:t>audited?</w:t>
            </w:r>
          </w:p>
          <w:p w:rsidR="00136F06" w:rsidRPr="004A02C7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06" w:rsidRPr="004A02C7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  <w:p w:rsidR="00136F06" w:rsidRPr="004A02C7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  <w:p w:rsidR="00136F06" w:rsidRPr="004A02C7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136F06" w:rsidRPr="004A02C7" w:rsidTr="001C36BA">
        <w:trPr>
          <w:trHeight w:val="300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6F06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The average </w:t>
            </w:r>
            <w:r w:rsidRPr="005C069B">
              <w:rPr>
                <w:rFonts w:eastAsia="Times New Roman" w:cs="Arial"/>
                <w:b/>
                <w:color w:val="000000"/>
                <w:szCs w:val="24"/>
                <w:lang w:eastAsia="en-AU"/>
              </w:rPr>
              <w:t xml:space="preserve">environment 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>score for the service areas audited is:</w:t>
            </w:r>
          </w:p>
          <w:p w:rsidR="00136F06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06" w:rsidRPr="004A02C7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</w:tr>
      <w:tr w:rsidR="00136F06" w:rsidRPr="004A02C7" w:rsidTr="001C36BA">
        <w:trPr>
          <w:trHeight w:val="300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6F06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The average </w:t>
            </w:r>
            <w:r>
              <w:rPr>
                <w:rFonts w:eastAsia="Times New Roman" w:cs="Arial"/>
                <w:b/>
                <w:color w:val="000000"/>
                <w:szCs w:val="24"/>
                <w:lang w:eastAsia="en-AU"/>
              </w:rPr>
              <w:t xml:space="preserve">services 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>score for the service areas audited is:</w:t>
            </w:r>
          </w:p>
          <w:p w:rsidR="00136F06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06" w:rsidRPr="004A02C7" w:rsidRDefault="00136F06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</w:tc>
      </w:tr>
      <w:tr w:rsidR="00F712B5" w:rsidRPr="004A02C7" w:rsidTr="00B8497F">
        <w:trPr>
          <w:trHeight w:val="570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B5" w:rsidRDefault="00F712B5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Please describe:</w:t>
            </w:r>
          </w:p>
          <w:p w:rsidR="00F712B5" w:rsidRPr="004A02C7" w:rsidRDefault="00F712B5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  <w:p w:rsidR="00F712B5" w:rsidRPr="004A02C7" w:rsidRDefault="00F712B5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  <w:tr w:rsidR="00F712B5" w:rsidRPr="004A02C7" w:rsidTr="003A2CC7">
        <w:trPr>
          <w:trHeight w:val="570"/>
        </w:trPr>
        <w:tc>
          <w:tcPr>
            <w:tcW w:w="10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B5" w:rsidRDefault="00F712B5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Priorities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for your organisation</w:t>
            </w: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:</w:t>
            </w:r>
          </w:p>
          <w:p w:rsidR="00F712B5" w:rsidRDefault="00F712B5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</w:p>
          <w:p w:rsidR="00F712B5" w:rsidRPr="004A02C7" w:rsidRDefault="00F712B5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  <w:p w:rsidR="00F712B5" w:rsidRPr="004A02C7" w:rsidRDefault="00F712B5" w:rsidP="001C36BA">
            <w:pPr>
              <w:spacing w:after="0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4A02C7">
              <w:rPr>
                <w:rFonts w:eastAsia="Times New Roman" w:cs="Arial"/>
                <w:color w:val="000000"/>
                <w:szCs w:val="24"/>
                <w:lang w:eastAsia="en-AU"/>
              </w:rPr>
              <w:t> </w:t>
            </w:r>
          </w:p>
        </w:tc>
      </w:tr>
    </w:tbl>
    <w:p w:rsidR="00F712B5" w:rsidRDefault="00F712B5" w:rsidP="00136B77">
      <w:pPr>
        <w:spacing w:after="240"/>
        <w:rPr>
          <w:b/>
        </w:rPr>
      </w:pPr>
    </w:p>
    <w:p w:rsidR="00136B77" w:rsidRPr="00AF7C07" w:rsidRDefault="00136B77" w:rsidP="00136B77">
      <w:pPr>
        <w:spacing w:after="240"/>
        <w:rPr>
          <w:b/>
        </w:rPr>
      </w:pPr>
      <w:r w:rsidRPr="00AF7C07">
        <w:rPr>
          <w:b/>
        </w:rPr>
        <w:t xml:space="preserve">This document can be made available in alternative formats </w:t>
      </w:r>
      <w:r>
        <w:rPr>
          <w:b/>
        </w:rPr>
        <w:br/>
        <w:t xml:space="preserve">on request for a person with </w:t>
      </w:r>
      <w:r w:rsidRPr="00AF7C07">
        <w:rPr>
          <w:b/>
        </w:rPr>
        <w:t>disability.</w:t>
      </w:r>
    </w:p>
    <w:p w:rsidR="00136B77" w:rsidRDefault="00136B77" w:rsidP="00136B77">
      <w:pPr>
        <w:spacing w:after="300"/>
        <w:ind w:right="-1"/>
      </w:pPr>
      <w:r>
        <w:t>© Department of Health 2018</w:t>
      </w:r>
    </w:p>
    <w:p w:rsidR="00136B77" w:rsidRDefault="00136B77" w:rsidP="00136B77">
      <w:pPr>
        <w:pStyle w:val="TEXT"/>
        <w:spacing w:after="240" w:line="240" w:lineRule="auto"/>
        <w:rPr>
          <w:rFonts w:ascii="Arial" w:hAnsi="Arial"/>
          <w:sz w:val="22"/>
          <w:szCs w:val="22"/>
        </w:rPr>
      </w:pPr>
      <w:r w:rsidRPr="0000010A">
        <w:rPr>
          <w:rFonts w:ascii="Arial" w:hAnsi="Arial"/>
          <w:sz w:val="22"/>
          <w:szCs w:val="22"/>
        </w:rPr>
        <w:t>Copyright to this material is vested in the State of Western Australia unless otherwise indicated. Apart from any fair dealing for the purposes of priv</w:t>
      </w:r>
      <w:r>
        <w:rPr>
          <w:rFonts w:ascii="Arial" w:hAnsi="Arial"/>
          <w:sz w:val="22"/>
          <w:szCs w:val="22"/>
        </w:rPr>
        <w:t xml:space="preserve">ate study, research, criticism </w:t>
      </w:r>
      <w:r w:rsidRPr="0000010A">
        <w:rPr>
          <w:rFonts w:ascii="Arial" w:hAnsi="Arial"/>
          <w:sz w:val="22"/>
          <w:szCs w:val="22"/>
        </w:rPr>
        <w:t xml:space="preserve">or review, as permitted under the provisions of the </w:t>
      </w:r>
      <w:r w:rsidRPr="0000010A">
        <w:rPr>
          <w:rFonts w:ascii="Arial" w:hAnsi="Arial" w:cs="ArialMTStd-Italic"/>
          <w:i/>
          <w:iCs/>
          <w:sz w:val="22"/>
          <w:szCs w:val="22"/>
        </w:rPr>
        <w:t>Copyright Act 1968</w:t>
      </w:r>
      <w:r w:rsidRPr="0000010A">
        <w:rPr>
          <w:rFonts w:ascii="Arial" w:hAnsi="Arial"/>
          <w:sz w:val="22"/>
          <w:szCs w:val="22"/>
        </w:rPr>
        <w:t>, no part may be reproduced or re-used for any purposes whatsoever without written permission of the State of Western Australia.</w:t>
      </w:r>
    </w:p>
    <w:p w:rsidR="00050D91" w:rsidRDefault="00136B77" w:rsidP="00136F06">
      <w:pPr>
        <w:pStyle w:val="TEXT"/>
        <w:spacing w:line="240" w:lineRule="auto"/>
        <w:rPr>
          <w:b/>
        </w:rPr>
      </w:pPr>
      <w:r w:rsidRPr="00483052">
        <w:rPr>
          <w:rFonts w:ascii="Arial" w:hAnsi="Arial"/>
          <w:color w:val="005B6C" w:themeColor="accent1"/>
          <w:sz w:val="28"/>
          <w:szCs w:val="28"/>
        </w:rPr>
        <w:t>health.wa.gov.au</w:t>
      </w:r>
    </w:p>
    <w:sectPr w:rsidR="00050D91" w:rsidSect="00F176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09" w:right="680" w:bottom="1843" w:left="680" w:header="392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8C8" w:rsidRDefault="001368C8" w:rsidP="0013662A">
      <w:pPr>
        <w:spacing w:after="0"/>
      </w:pPr>
      <w:r>
        <w:separator/>
      </w:r>
    </w:p>
  </w:endnote>
  <w:endnote w:type="continuationSeparator" w:id="0">
    <w:p w:rsidR="001368C8" w:rsidRDefault="001368C8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85B" w:rsidRDefault="00361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369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F77" w:rsidRDefault="00091E8C" w:rsidP="00091E8C">
        <w:pPr>
          <w:pStyle w:val="Footer"/>
          <w:jc w:val="center"/>
        </w:pPr>
        <w:r>
          <w:t xml:space="preserve">                                                        </w:t>
        </w:r>
        <w:r w:rsidR="0045582D">
          <w:t xml:space="preserve">Last </w:t>
        </w:r>
        <w:r w:rsidR="0045582D" w:rsidRPr="0045582D">
          <w:t>updated</w:t>
        </w:r>
        <w:r w:rsidRPr="0045582D">
          <w:t xml:space="preserve"> </w:t>
        </w:r>
        <w:r w:rsidR="0045582D">
          <w:t>31</w:t>
        </w:r>
        <w:r w:rsidRPr="0045582D">
          <w:t xml:space="preserve"> August 2018</w:t>
        </w:r>
        <w:r>
          <w:t xml:space="preserve">                                                 </w:t>
        </w:r>
        <w:r w:rsidR="00060F77">
          <w:fldChar w:fldCharType="begin"/>
        </w:r>
        <w:r w:rsidR="00060F77">
          <w:instrText xml:space="preserve"> PAGE   \* MERGEFORMAT </w:instrText>
        </w:r>
        <w:r w:rsidR="00060F77">
          <w:fldChar w:fldCharType="separate"/>
        </w:r>
        <w:r w:rsidR="00F712B5">
          <w:rPr>
            <w:noProof/>
          </w:rPr>
          <w:t>2</w:t>
        </w:r>
        <w:r w:rsidR="00060F77">
          <w:rPr>
            <w:noProof/>
          </w:rPr>
          <w:fldChar w:fldCharType="end"/>
        </w:r>
      </w:p>
    </w:sdtContent>
  </w:sdt>
  <w:p w:rsidR="00521D1A" w:rsidRPr="005D3A48" w:rsidRDefault="00521D1A" w:rsidP="00060F77">
    <w:pPr>
      <w:pStyle w:val="Foot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2A" w:rsidRPr="00232283" w:rsidRDefault="0013662A" w:rsidP="00232283">
    <w:pPr>
      <w:spacing w:after="240"/>
      <w:rPr>
        <w:b/>
        <w:color w:val="005B6C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8C8" w:rsidRDefault="001368C8" w:rsidP="0013662A">
      <w:pPr>
        <w:spacing w:after="0"/>
      </w:pPr>
      <w:r>
        <w:separator/>
      </w:r>
    </w:p>
  </w:footnote>
  <w:footnote w:type="continuationSeparator" w:id="0">
    <w:p w:rsidR="001368C8" w:rsidRDefault="001368C8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85B" w:rsidRDefault="00361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8D" w:rsidRDefault="00D8128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08C9935" wp14:editId="5CDE83C2">
          <wp:simplePos x="0" y="0"/>
          <wp:positionH relativeFrom="page">
            <wp:posOffset>1270</wp:posOffset>
          </wp:positionH>
          <wp:positionV relativeFrom="page">
            <wp:posOffset>-64394</wp:posOffset>
          </wp:positionV>
          <wp:extent cx="7560000" cy="10692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Policy Wor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F718CE8" wp14:editId="22377B8C">
          <wp:simplePos x="0" y="0"/>
          <wp:positionH relativeFrom="page">
            <wp:posOffset>657</wp:posOffset>
          </wp:positionH>
          <wp:positionV relativeFrom="page">
            <wp:posOffset>0</wp:posOffset>
          </wp:positionV>
          <wp:extent cx="7558685" cy="106920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685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9.75pt" o:bullet="t">
        <v:imagedata r:id="rId1" o:title="BD21300_"/>
      </v:shape>
    </w:pict>
  </w:numPicBullet>
  <w:numPicBullet w:numPicBulletId="1">
    <w:pict>
      <v:shape id="_x0000_i1033" type="#_x0000_t75" style="width:9.75pt;height:9.75pt" o:bullet="t">
        <v:imagedata r:id="rId2" o:title="BD14515_"/>
      </v:shape>
    </w:pict>
  </w:numPicBullet>
  <w:abstractNum w:abstractNumId="0" w15:restartNumberingAfterBreak="0">
    <w:nsid w:val="02147948"/>
    <w:multiLevelType w:val="hybridMultilevel"/>
    <w:tmpl w:val="32181122"/>
    <w:lvl w:ilvl="0" w:tplc="682498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6E0C"/>
    <w:multiLevelType w:val="hybridMultilevel"/>
    <w:tmpl w:val="0B7E4DB2"/>
    <w:lvl w:ilvl="0" w:tplc="F0C8D8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372D3"/>
    <w:multiLevelType w:val="hybridMultilevel"/>
    <w:tmpl w:val="A1C45552"/>
    <w:lvl w:ilvl="0" w:tplc="E97015D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070A"/>
    <w:multiLevelType w:val="hybridMultilevel"/>
    <w:tmpl w:val="7F94CC32"/>
    <w:lvl w:ilvl="0" w:tplc="CCAA3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793D"/>
    <w:multiLevelType w:val="hybridMultilevel"/>
    <w:tmpl w:val="AD4487F8"/>
    <w:lvl w:ilvl="0" w:tplc="A2E010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FFFFFF" w:themeColor="background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97928"/>
    <w:multiLevelType w:val="hybridMultilevel"/>
    <w:tmpl w:val="DAAA35E4"/>
    <w:lvl w:ilvl="0" w:tplc="762CFC0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FFFFFF" w:themeColor="background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5B6C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64BDC"/>
    <w:multiLevelType w:val="hybridMultilevel"/>
    <w:tmpl w:val="D6B69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27151"/>
    <w:multiLevelType w:val="hybridMultilevel"/>
    <w:tmpl w:val="FA44AF9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41338"/>
    <w:multiLevelType w:val="hybridMultilevel"/>
    <w:tmpl w:val="A3D21A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96600"/>
    <w:multiLevelType w:val="hybridMultilevel"/>
    <w:tmpl w:val="A1C45552"/>
    <w:lvl w:ilvl="0" w:tplc="E97015D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BD"/>
    <w:rsid w:val="00000814"/>
    <w:rsid w:val="000244A9"/>
    <w:rsid w:val="00037C5C"/>
    <w:rsid w:val="000419F4"/>
    <w:rsid w:val="00050D91"/>
    <w:rsid w:val="00060A0F"/>
    <w:rsid w:val="00060F77"/>
    <w:rsid w:val="000817F3"/>
    <w:rsid w:val="00081D18"/>
    <w:rsid w:val="000841F6"/>
    <w:rsid w:val="00091E8C"/>
    <w:rsid w:val="00125C31"/>
    <w:rsid w:val="001303C8"/>
    <w:rsid w:val="0013662A"/>
    <w:rsid w:val="001368C8"/>
    <w:rsid w:val="00136B77"/>
    <w:rsid w:val="00136F06"/>
    <w:rsid w:val="001437E0"/>
    <w:rsid w:val="00171B7B"/>
    <w:rsid w:val="001C7D1F"/>
    <w:rsid w:val="001D4BB4"/>
    <w:rsid w:val="001D5F64"/>
    <w:rsid w:val="001F594B"/>
    <w:rsid w:val="001F6030"/>
    <w:rsid w:val="001F68E9"/>
    <w:rsid w:val="002101D4"/>
    <w:rsid w:val="00213203"/>
    <w:rsid w:val="00220E8F"/>
    <w:rsid w:val="00232283"/>
    <w:rsid w:val="00235CE2"/>
    <w:rsid w:val="00260754"/>
    <w:rsid w:val="00261B67"/>
    <w:rsid w:val="002C7D7D"/>
    <w:rsid w:val="002E13D5"/>
    <w:rsid w:val="002E5F5B"/>
    <w:rsid w:val="003125BE"/>
    <w:rsid w:val="00346CB2"/>
    <w:rsid w:val="00350004"/>
    <w:rsid w:val="00355004"/>
    <w:rsid w:val="0036185B"/>
    <w:rsid w:val="003929E7"/>
    <w:rsid w:val="003A7060"/>
    <w:rsid w:val="00411774"/>
    <w:rsid w:val="0045582D"/>
    <w:rsid w:val="004643DB"/>
    <w:rsid w:val="00466DB9"/>
    <w:rsid w:val="00471692"/>
    <w:rsid w:val="00483052"/>
    <w:rsid w:val="00492C70"/>
    <w:rsid w:val="00496FD1"/>
    <w:rsid w:val="004A02C7"/>
    <w:rsid w:val="004A609E"/>
    <w:rsid w:val="004C2780"/>
    <w:rsid w:val="004C27CB"/>
    <w:rsid w:val="004C6976"/>
    <w:rsid w:val="00521D1A"/>
    <w:rsid w:val="0056716B"/>
    <w:rsid w:val="00597A85"/>
    <w:rsid w:val="005A409E"/>
    <w:rsid w:val="005C069B"/>
    <w:rsid w:val="005C1114"/>
    <w:rsid w:val="005D3A48"/>
    <w:rsid w:val="005D455D"/>
    <w:rsid w:val="005E3354"/>
    <w:rsid w:val="00696A25"/>
    <w:rsid w:val="006A339A"/>
    <w:rsid w:val="006F1E2D"/>
    <w:rsid w:val="006F52D0"/>
    <w:rsid w:val="00741FE1"/>
    <w:rsid w:val="007437BB"/>
    <w:rsid w:val="00753150"/>
    <w:rsid w:val="007600DC"/>
    <w:rsid w:val="0077027C"/>
    <w:rsid w:val="00794DF0"/>
    <w:rsid w:val="007A1946"/>
    <w:rsid w:val="007C3EDB"/>
    <w:rsid w:val="007D3AE7"/>
    <w:rsid w:val="007D793C"/>
    <w:rsid w:val="008352CB"/>
    <w:rsid w:val="00881846"/>
    <w:rsid w:val="00882643"/>
    <w:rsid w:val="00897837"/>
    <w:rsid w:val="008B1D82"/>
    <w:rsid w:val="008C6F0A"/>
    <w:rsid w:val="008E0A5E"/>
    <w:rsid w:val="008E3665"/>
    <w:rsid w:val="008F7FE4"/>
    <w:rsid w:val="00916526"/>
    <w:rsid w:val="009231B7"/>
    <w:rsid w:val="009268E4"/>
    <w:rsid w:val="00930591"/>
    <w:rsid w:val="00930DF8"/>
    <w:rsid w:val="00933CEB"/>
    <w:rsid w:val="009668ED"/>
    <w:rsid w:val="00981DA1"/>
    <w:rsid w:val="00990D6C"/>
    <w:rsid w:val="009B0844"/>
    <w:rsid w:val="00A46D7C"/>
    <w:rsid w:val="00A47FA0"/>
    <w:rsid w:val="00A91C4C"/>
    <w:rsid w:val="00AA1620"/>
    <w:rsid w:val="00AF0C79"/>
    <w:rsid w:val="00B17ECC"/>
    <w:rsid w:val="00B544AB"/>
    <w:rsid w:val="00B85FD3"/>
    <w:rsid w:val="00BA0079"/>
    <w:rsid w:val="00BB5682"/>
    <w:rsid w:val="00BC15A7"/>
    <w:rsid w:val="00BD41EB"/>
    <w:rsid w:val="00BD7C33"/>
    <w:rsid w:val="00BE3C2D"/>
    <w:rsid w:val="00C5570C"/>
    <w:rsid w:val="00C7143D"/>
    <w:rsid w:val="00C729CE"/>
    <w:rsid w:val="00C9792D"/>
    <w:rsid w:val="00CC62F3"/>
    <w:rsid w:val="00CF2778"/>
    <w:rsid w:val="00CF64E2"/>
    <w:rsid w:val="00D147D4"/>
    <w:rsid w:val="00D636EE"/>
    <w:rsid w:val="00D659BF"/>
    <w:rsid w:val="00D8128D"/>
    <w:rsid w:val="00D9301F"/>
    <w:rsid w:val="00DD22D0"/>
    <w:rsid w:val="00DE4BFE"/>
    <w:rsid w:val="00E0060F"/>
    <w:rsid w:val="00E373D4"/>
    <w:rsid w:val="00E40563"/>
    <w:rsid w:val="00E47483"/>
    <w:rsid w:val="00E775B0"/>
    <w:rsid w:val="00E84498"/>
    <w:rsid w:val="00E9548E"/>
    <w:rsid w:val="00F05CC7"/>
    <w:rsid w:val="00F176A0"/>
    <w:rsid w:val="00F54FCD"/>
    <w:rsid w:val="00F647BD"/>
    <w:rsid w:val="00F712B5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C6B63"/>
  <w15:docId w15:val="{6B2DE075-F924-440B-99FE-FEA909BA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05B6C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05B6C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05B6C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05B6C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05B6C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05B6C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04350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05B6C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4350" w:themeColor="accent1" w:themeShade="BF"/>
    </w:rPr>
    <w:tblPr>
      <w:tblStyleRowBandSize w:val="1"/>
      <w:tblStyleColBandSize w:val="1"/>
      <w:tblBorders>
        <w:top w:val="single" w:sz="8" w:space="0" w:color="005B6C" w:themeColor="accent1"/>
        <w:bottom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  <w:insideH w:val="single" w:sz="8" w:space="0" w:color="005B6C" w:themeColor="accent1"/>
        <w:insideV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1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  <w:shd w:val="clear" w:color="auto" w:fill="9BEFFF" w:themeFill="accent1" w:themeFillTint="3F"/>
      </w:tcPr>
    </w:tblStylePr>
    <w:tblStylePr w:type="band2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5B6C" w:themeColor="accent1"/>
          <w:left w:val="single" w:sz="8" w:space="0" w:color="005B6C" w:themeColor="accent1"/>
          <w:bottom w:val="single" w:sz="1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  <w:shd w:val="clear" w:color="auto" w:fill="005B6C" w:themeFill="accent2"/>
      </w:tcPr>
    </w:tblStylePr>
    <w:tblStylePr w:type="band2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AFD0" w:themeColor="accent1" w:themeTint="BF"/>
        <w:left w:val="single" w:sz="8" w:space="0" w:color="00AFD0" w:themeColor="accent1" w:themeTint="BF"/>
        <w:bottom w:val="single" w:sz="8" w:space="0" w:color="00AFD0" w:themeColor="accent1" w:themeTint="BF"/>
        <w:right w:val="single" w:sz="8" w:space="0" w:color="00AFD0" w:themeColor="accent1" w:themeTint="BF"/>
        <w:insideH w:val="single" w:sz="8" w:space="0" w:color="00AF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05B6C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B6C" w:themeColor="accent1"/>
        <w:bottom w:val="single" w:sz="8" w:space="0" w:color="005B6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B6C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shd w:val="clear" w:color="auto" w:fill="9BEF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5B6C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shd w:val="clear" w:color="auto" w:fill="005B6C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5B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05B6C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E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210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0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D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498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C1114"/>
    <w:rPr>
      <w:color w:val="6E298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2.health.wa.gov.au/-/media/Files/Corporate/general-documents/Health-Networks/Child-and-Youth/Youth-Friendly-Health-Service-audit-tool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ealthpolicy@health.wa.gov.au?subject=WA%20Youth%20Health%20Policy%202018%20&#8211;%202023%20Laun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2.health.wa.gov.au/Articles/A_E/Child-and-Youth-Health-Networ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ealthpolicy@health.wa.gov.au?subject=WA%20Youth%20Health%20Policy%202018%20&#8211;%202023%20Launc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2.health.wa.gov.au/~/media/Files/Corporate/general%20documents/Youth-Policy/PDF/Youth-policy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qua PMS 31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05B6C"/>
      </a:accent1>
      <a:accent2>
        <a:srgbClr val="005B6C"/>
      </a:accent2>
      <a:accent3>
        <a:srgbClr val="005B6C"/>
      </a:accent3>
      <a:accent4>
        <a:srgbClr val="005B6C"/>
      </a:accent4>
      <a:accent5>
        <a:srgbClr val="005B6C"/>
      </a:accent5>
      <a:accent6>
        <a:srgbClr val="005B6C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1980-7523-4260-9787-B671C618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Jasinski, Jeremy</cp:lastModifiedBy>
  <cp:revision>2</cp:revision>
  <dcterms:created xsi:type="dcterms:W3CDTF">2020-07-24T01:29:00Z</dcterms:created>
  <dcterms:modified xsi:type="dcterms:W3CDTF">2020-07-24T01:29:00Z</dcterms:modified>
</cp:coreProperties>
</file>